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17D75EC">
      <w:pPr>
        <w:keepNext w:val="0"/>
        <w:keepLines w:val="0"/>
        <w:pageBreakBefore w:val="0"/>
        <w:widowControl w:val="0"/>
        <w:tabs>
          <w:tab w:val="left" w:pos="195"/>
        </w:tabs>
        <w:kinsoku/>
        <w:wordWrap/>
        <w:overflowPunct/>
        <w:topLinePunct w:val="0"/>
        <w:autoSpaceDE/>
        <w:autoSpaceDN/>
        <w:bidi w:val="0"/>
        <w:adjustRightInd/>
        <w:snapToGrid/>
        <w:spacing w:line="500" w:lineRule="exact"/>
        <w:ind w:firstLine="0"/>
        <w:jc w:val="center"/>
        <w:textAlignment w:val="auto"/>
        <w:rPr>
          <w:rFonts w:hint="default" w:eastAsia="宋体"/>
          <w:bCs/>
          <w:sz w:val="24"/>
          <w:lang w:val="en-US" w:eastAsia="zh-CN"/>
        </w:rPr>
      </w:pPr>
      <w:r>
        <w:rPr>
          <w:kern w:val="0"/>
          <w:sz w:val="24"/>
        </w:rPr>
        <w:t xml:space="preserve">证券代码：300238          证券简称：冠昊生物 </w:t>
      </w:r>
      <w:r>
        <w:rPr>
          <w:rFonts w:hint="eastAsia"/>
          <w:kern w:val="0"/>
          <w:sz w:val="24"/>
          <w:lang w:val="en-US" w:eastAsia="zh-CN"/>
        </w:rPr>
        <w:t xml:space="preserve"> </w:t>
      </w:r>
      <w:r>
        <w:rPr>
          <w:kern w:val="0"/>
          <w:sz w:val="24"/>
        </w:rPr>
        <w:t xml:space="preserve">  </w:t>
      </w:r>
      <w:r>
        <w:rPr>
          <w:rFonts w:hint="eastAsia"/>
          <w:kern w:val="0"/>
          <w:sz w:val="24"/>
          <w:lang w:val="en-US" w:eastAsia="zh-CN"/>
        </w:rPr>
        <w:t xml:space="preserve">  </w:t>
      </w:r>
      <w:r>
        <w:rPr>
          <w:kern w:val="0"/>
          <w:sz w:val="24"/>
        </w:rPr>
        <w:t xml:space="preserve"> 公告编号：</w:t>
      </w:r>
      <w:r>
        <w:rPr>
          <w:kern w:val="0"/>
          <w:sz w:val="24"/>
          <w:highlight w:val="none"/>
        </w:rPr>
        <w:t>20</w:t>
      </w:r>
      <w:r>
        <w:rPr>
          <w:rFonts w:hint="eastAsia"/>
          <w:kern w:val="0"/>
          <w:sz w:val="24"/>
          <w:highlight w:val="none"/>
        </w:rPr>
        <w:t>2</w:t>
      </w:r>
      <w:r>
        <w:rPr>
          <w:rFonts w:hint="eastAsia"/>
          <w:kern w:val="0"/>
          <w:sz w:val="24"/>
          <w:highlight w:val="none"/>
          <w:lang w:val="en-US" w:eastAsia="zh-CN"/>
        </w:rPr>
        <w:t>5</w:t>
      </w:r>
      <w:r>
        <w:rPr>
          <w:kern w:val="0"/>
          <w:sz w:val="24"/>
          <w:highlight w:val="none"/>
        </w:rPr>
        <w:t>-</w:t>
      </w:r>
      <w:r>
        <w:rPr>
          <w:rFonts w:hint="eastAsia"/>
          <w:kern w:val="0"/>
          <w:sz w:val="24"/>
          <w:highlight w:val="none"/>
          <w:lang w:val="en-US" w:eastAsia="zh-CN"/>
        </w:rPr>
        <w:t>043</w:t>
      </w:r>
    </w:p>
    <w:p w14:paraId="77E54FA4">
      <w:pPr>
        <w:tabs>
          <w:tab w:val="left" w:pos="195"/>
        </w:tabs>
        <w:spacing w:before="468" w:beforeLines="150" w:line="500" w:lineRule="exact"/>
        <w:ind w:firstLine="600"/>
        <w:jc w:val="center"/>
        <w:rPr>
          <w:rFonts w:ascii="黑体" w:hAnsi="黑体" w:eastAsia="黑体"/>
          <w:sz w:val="30"/>
        </w:rPr>
      </w:pPr>
      <w:r>
        <w:rPr>
          <w:rFonts w:hint="eastAsia" w:ascii="黑体" w:hAnsi="黑体" w:eastAsia="黑体"/>
          <w:sz w:val="30"/>
        </w:rPr>
        <w:t>冠昊生物科技股份有限公司</w:t>
      </w:r>
    </w:p>
    <w:p w14:paraId="43D5A0E3">
      <w:pPr>
        <w:keepNext w:val="0"/>
        <w:keepLines w:val="0"/>
        <w:pageBreakBefore w:val="0"/>
        <w:widowControl w:val="0"/>
        <w:kinsoku/>
        <w:wordWrap/>
        <w:overflowPunct/>
        <w:topLinePunct w:val="0"/>
        <w:autoSpaceDE w:val="0"/>
        <w:autoSpaceDN w:val="0"/>
        <w:bidi w:val="0"/>
        <w:adjustRightInd w:val="0"/>
        <w:snapToGrid/>
        <w:spacing w:before="156" w:beforeLines="50" w:after="625" w:afterLines="200" w:line="500" w:lineRule="exact"/>
        <w:ind w:firstLine="601"/>
        <w:jc w:val="center"/>
        <w:textAlignment w:val="auto"/>
        <w:rPr>
          <w:rFonts w:ascii="宋体" w:cs="宋体"/>
          <w:b/>
          <w:kern w:val="0"/>
          <w:sz w:val="32"/>
          <w:szCs w:val="32"/>
        </w:rPr>
      </w:pPr>
      <w:r>
        <w:rPr>
          <w:rFonts w:hint="eastAsia" w:ascii="黑体" w:hAnsi="黑体" w:eastAsia="黑体"/>
          <w:sz w:val="30"/>
        </w:rPr>
        <w:t>第六届董事会第</w:t>
      </w:r>
      <w:r>
        <w:rPr>
          <w:rFonts w:hint="eastAsia" w:ascii="黑体" w:hAnsi="黑体" w:eastAsia="黑体"/>
          <w:sz w:val="30"/>
          <w:lang w:val="en-US" w:eastAsia="zh-CN"/>
        </w:rPr>
        <w:t>十五</w:t>
      </w:r>
      <w:r>
        <w:rPr>
          <w:rFonts w:hint="eastAsia" w:ascii="黑体" w:hAnsi="黑体" w:eastAsia="黑体"/>
          <w:sz w:val="30"/>
        </w:rPr>
        <w:t>次会议决议公告</w:t>
      </w:r>
    </w:p>
    <w:tbl>
      <w:tblPr>
        <w:tblStyle w:val="11"/>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0"/>
      </w:tblGrid>
      <w:tr w14:paraId="11736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8460" w:type="dxa"/>
          </w:tcPr>
          <w:p w14:paraId="53D79103">
            <w:pPr>
              <w:autoSpaceDE w:val="0"/>
              <w:autoSpaceDN w:val="0"/>
              <w:adjustRightInd w:val="0"/>
              <w:spacing w:line="500" w:lineRule="exact"/>
              <w:ind w:firstLine="480" w:firstLineChars="200"/>
              <w:jc w:val="left"/>
              <w:rPr>
                <w:rFonts w:ascii="宋体" w:hAnsi="宋体" w:cs="宋体"/>
                <w:kern w:val="0"/>
                <w:sz w:val="24"/>
              </w:rPr>
            </w:pPr>
            <w:r>
              <w:rPr>
                <w:rFonts w:hint="eastAsia" w:ascii="宋体" w:hAnsi="宋体" w:cs="宋体"/>
                <w:kern w:val="0"/>
                <w:sz w:val="24"/>
              </w:rPr>
              <w:t>本公司及董事会全体人员保证信息披露的内容真实、准确和完整，没有虚假记载、误导性陈述或者重大遗漏。</w:t>
            </w:r>
          </w:p>
        </w:tc>
      </w:tr>
    </w:tbl>
    <w:p w14:paraId="343826FD">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ind w:left="0" w:firstLine="482" w:firstLineChars="200"/>
        <w:textAlignment w:val="auto"/>
        <w:rPr>
          <w:rFonts w:ascii="宋体" w:hAnsi="宋体" w:cs="宋体"/>
          <w:sz w:val="24"/>
        </w:rPr>
      </w:pPr>
      <w:r>
        <w:rPr>
          <w:rFonts w:hint="eastAsia" w:ascii="宋体" w:hAnsi="宋体" w:cs="宋体"/>
          <w:b/>
          <w:bCs/>
          <w:sz w:val="24"/>
        </w:rPr>
        <w:t>一、董事会会议召开情况</w:t>
      </w:r>
    </w:p>
    <w:p w14:paraId="420DDC02">
      <w:pPr>
        <w:keepNext w:val="0"/>
        <w:keepLines w:val="0"/>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highlight w:val="none"/>
        </w:rPr>
      </w:pPr>
      <w:r>
        <w:rPr>
          <w:rFonts w:hint="default" w:ascii="Times New Roman" w:hAnsi="Times New Roman" w:cs="Times New Roman"/>
          <w:sz w:val="24"/>
        </w:rPr>
        <w:t>1</w:t>
      </w:r>
      <w:r>
        <w:rPr>
          <w:rFonts w:hint="eastAsia" w:ascii="宋体" w:hAnsi="宋体" w:cs="宋体"/>
          <w:sz w:val="24"/>
        </w:rPr>
        <w:t>、冠昊生物科技股份有限公司</w:t>
      </w:r>
      <w:r>
        <w:rPr>
          <w:rFonts w:ascii="宋体" w:hAnsi="宋体" w:cs="宋体"/>
          <w:sz w:val="24"/>
        </w:rPr>
        <w:t>(</w:t>
      </w:r>
      <w:r>
        <w:rPr>
          <w:rFonts w:hint="eastAsia" w:ascii="宋体" w:hAnsi="宋体" w:cs="宋体"/>
          <w:sz w:val="24"/>
        </w:rPr>
        <w:t>以下简称“公司”</w:t>
      </w:r>
      <w:r>
        <w:rPr>
          <w:rFonts w:ascii="宋体" w:hAnsi="宋体" w:cs="宋体"/>
          <w:sz w:val="24"/>
        </w:rPr>
        <w:t>)</w:t>
      </w:r>
      <w:r>
        <w:rPr>
          <w:rFonts w:hint="eastAsia" w:ascii="宋体" w:hAnsi="宋体" w:cs="宋体"/>
          <w:sz w:val="24"/>
        </w:rPr>
        <w:t>第六届董事会第</w:t>
      </w:r>
      <w:r>
        <w:rPr>
          <w:rFonts w:hint="eastAsia" w:ascii="宋体" w:hAnsi="宋体" w:cs="宋体"/>
          <w:sz w:val="24"/>
          <w:lang w:val="en-US" w:eastAsia="zh-CN"/>
        </w:rPr>
        <w:t>十五</w:t>
      </w:r>
      <w:r>
        <w:rPr>
          <w:rFonts w:hint="eastAsia" w:ascii="宋体" w:hAnsi="宋体" w:cs="宋体"/>
          <w:sz w:val="24"/>
        </w:rPr>
        <w:t>次会议，会议通知已</w:t>
      </w:r>
      <w:r>
        <w:rPr>
          <w:rFonts w:hint="eastAsia" w:ascii="宋体" w:hAnsi="宋体" w:cs="宋体"/>
          <w:sz w:val="24"/>
          <w:highlight w:val="none"/>
        </w:rPr>
        <w:t>于</w:t>
      </w:r>
      <w:r>
        <w:rPr>
          <w:sz w:val="24"/>
          <w:highlight w:val="none"/>
        </w:rPr>
        <w:t>202</w:t>
      </w:r>
      <w:r>
        <w:rPr>
          <w:rFonts w:hint="eastAsia"/>
          <w:sz w:val="24"/>
          <w:highlight w:val="none"/>
          <w:lang w:val="en-US" w:eastAsia="zh-CN"/>
        </w:rPr>
        <w:t>5</w:t>
      </w:r>
      <w:r>
        <w:rPr>
          <w:sz w:val="24"/>
          <w:highlight w:val="none"/>
        </w:rPr>
        <w:t>年</w:t>
      </w:r>
      <w:r>
        <w:rPr>
          <w:rFonts w:hint="eastAsia"/>
          <w:sz w:val="24"/>
          <w:highlight w:val="none"/>
          <w:lang w:val="en-US" w:eastAsia="zh-CN"/>
        </w:rPr>
        <w:t>6</w:t>
      </w:r>
      <w:r>
        <w:rPr>
          <w:sz w:val="24"/>
          <w:highlight w:val="none"/>
        </w:rPr>
        <w:t>月</w:t>
      </w:r>
      <w:r>
        <w:rPr>
          <w:rFonts w:hint="eastAsia"/>
          <w:sz w:val="24"/>
          <w:highlight w:val="none"/>
          <w:lang w:val="en-US" w:eastAsia="zh-CN"/>
        </w:rPr>
        <w:t>21</w:t>
      </w:r>
      <w:r>
        <w:rPr>
          <w:sz w:val="24"/>
          <w:highlight w:val="none"/>
        </w:rPr>
        <w:t>日</w:t>
      </w:r>
      <w:r>
        <w:rPr>
          <w:rFonts w:hint="eastAsia" w:ascii="宋体" w:hAnsi="宋体" w:cs="宋体"/>
          <w:sz w:val="24"/>
          <w:highlight w:val="none"/>
        </w:rPr>
        <w:t>以专人送达、邮件等方式送达全体董事。</w:t>
      </w:r>
    </w:p>
    <w:p w14:paraId="67D2CA91">
      <w:pPr>
        <w:keepNext w:val="0"/>
        <w:keepLines w:val="0"/>
        <w:pageBreakBefore w:val="0"/>
        <w:widowControl w:val="0"/>
        <w:kinsoku/>
        <w:wordWrap/>
        <w:overflowPunct/>
        <w:topLinePunct w:val="0"/>
        <w:autoSpaceDE/>
        <w:autoSpaceDN/>
        <w:bidi w:val="0"/>
        <w:adjustRightInd/>
        <w:snapToGrid/>
        <w:spacing w:line="500" w:lineRule="exact"/>
        <w:ind w:left="0" w:firstLine="480" w:firstLineChars="200"/>
        <w:textAlignment w:val="auto"/>
        <w:rPr>
          <w:sz w:val="24"/>
          <w:highlight w:val="none"/>
        </w:rPr>
      </w:pPr>
      <w:r>
        <w:rPr>
          <w:rFonts w:hint="eastAsia"/>
          <w:sz w:val="24"/>
          <w:highlight w:val="none"/>
        </w:rPr>
        <w:t>2、</w:t>
      </w:r>
      <w:r>
        <w:rPr>
          <w:sz w:val="24"/>
          <w:highlight w:val="none"/>
        </w:rPr>
        <w:t>本次会议</w:t>
      </w:r>
      <w:r>
        <w:rPr>
          <w:rFonts w:hint="eastAsia" w:ascii="宋体" w:hAnsi="宋体" w:cs="宋体"/>
          <w:sz w:val="24"/>
          <w:highlight w:val="none"/>
        </w:rPr>
        <w:t>于</w:t>
      </w:r>
      <w:r>
        <w:rPr>
          <w:sz w:val="24"/>
          <w:highlight w:val="none"/>
        </w:rPr>
        <w:t>202</w:t>
      </w:r>
      <w:r>
        <w:rPr>
          <w:rFonts w:hint="eastAsia"/>
          <w:sz w:val="24"/>
          <w:highlight w:val="none"/>
          <w:lang w:val="en-US" w:eastAsia="zh-CN"/>
        </w:rPr>
        <w:t>5</w:t>
      </w:r>
      <w:r>
        <w:rPr>
          <w:sz w:val="24"/>
          <w:highlight w:val="none"/>
        </w:rPr>
        <w:t>年</w:t>
      </w:r>
      <w:r>
        <w:rPr>
          <w:rFonts w:hint="eastAsia"/>
          <w:sz w:val="24"/>
          <w:highlight w:val="none"/>
          <w:lang w:val="en-US" w:eastAsia="zh-CN"/>
        </w:rPr>
        <w:t>6</w:t>
      </w:r>
      <w:r>
        <w:rPr>
          <w:sz w:val="24"/>
          <w:highlight w:val="none"/>
        </w:rPr>
        <w:t>月</w:t>
      </w:r>
      <w:r>
        <w:rPr>
          <w:rFonts w:hint="eastAsia"/>
          <w:sz w:val="24"/>
          <w:highlight w:val="none"/>
          <w:lang w:val="en-US" w:eastAsia="zh-CN"/>
        </w:rPr>
        <w:t>23</w:t>
      </w:r>
      <w:r>
        <w:rPr>
          <w:sz w:val="24"/>
          <w:highlight w:val="none"/>
        </w:rPr>
        <w:t>日</w:t>
      </w:r>
      <w:r>
        <w:rPr>
          <w:rFonts w:hint="eastAsia"/>
          <w:sz w:val="24"/>
          <w:highlight w:val="none"/>
        </w:rPr>
        <w:t>下</w:t>
      </w:r>
      <w:r>
        <w:rPr>
          <w:sz w:val="24"/>
          <w:highlight w:val="none"/>
        </w:rPr>
        <w:t>午1</w:t>
      </w:r>
      <w:r>
        <w:rPr>
          <w:rFonts w:hint="eastAsia"/>
          <w:sz w:val="24"/>
          <w:highlight w:val="none"/>
          <w:lang w:val="en-US" w:eastAsia="zh-CN"/>
        </w:rPr>
        <w:t>4</w:t>
      </w:r>
      <w:r>
        <w:rPr>
          <w:sz w:val="24"/>
          <w:highlight w:val="none"/>
        </w:rPr>
        <w:t>:</w:t>
      </w:r>
      <w:r>
        <w:rPr>
          <w:rFonts w:hint="eastAsia"/>
          <w:sz w:val="24"/>
          <w:highlight w:val="none"/>
          <w:lang w:val="en-US" w:eastAsia="zh-CN"/>
        </w:rPr>
        <w:t>0</w:t>
      </w:r>
      <w:r>
        <w:rPr>
          <w:sz w:val="24"/>
          <w:highlight w:val="none"/>
        </w:rPr>
        <w:t>0</w:t>
      </w:r>
      <w:r>
        <w:rPr>
          <w:rFonts w:hint="eastAsia"/>
          <w:sz w:val="24"/>
          <w:highlight w:val="none"/>
        </w:rPr>
        <w:t>在公司会议室</w:t>
      </w:r>
      <w:r>
        <w:rPr>
          <w:rFonts w:hint="eastAsia" w:ascii="宋体" w:hAnsi="宋体" w:cs="宋体"/>
          <w:sz w:val="24"/>
          <w:highlight w:val="none"/>
        </w:rPr>
        <w:t>采取现场会议和通讯会议相结合的方式召开。</w:t>
      </w:r>
    </w:p>
    <w:p w14:paraId="52061AAF">
      <w:pPr>
        <w:keepNext w:val="0"/>
        <w:keepLines w:val="0"/>
        <w:pageBreakBefore w:val="0"/>
        <w:widowControl w:val="0"/>
        <w:kinsoku/>
        <w:wordWrap/>
        <w:overflowPunct/>
        <w:topLinePunct w:val="0"/>
        <w:autoSpaceDE/>
        <w:autoSpaceDN/>
        <w:bidi w:val="0"/>
        <w:adjustRightInd/>
        <w:snapToGrid/>
        <w:spacing w:line="500" w:lineRule="exact"/>
        <w:ind w:left="0" w:firstLine="480" w:firstLineChars="200"/>
        <w:textAlignment w:val="auto"/>
        <w:rPr>
          <w:sz w:val="24"/>
          <w:highlight w:val="none"/>
        </w:rPr>
      </w:pPr>
      <w:r>
        <w:rPr>
          <w:rFonts w:hint="eastAsia"/>
          <w:sz w:val="24"/>
          <w:highlight w:val="none"/>
        </w:rPr>
        <w:t>3、</w:t>
      </w:r>
      <w:r>
        <w:rPr>
          <w:sz w:val="24"/>
          <w:highlight w:val="none"/>
        </w:rPr>
        <w:t>本次会议应出席董事</w:t>
      </w:r>
      <w:r>
        <w:rPr>
          <w:rFonts w:hint="eastAsia"/>
          <w:sz w:val="24"/>
          <w:highlight w:val="none"/>
        </w:rPr>
        <w:t>5</w:t>
      </w:r>
      <w:r>
        <w:rPr>
          <w:sz w:val="24"/>
          <w:highlight w:val="none"/>
        </w:rPr>
        <w:t>名，实际出席会议董事</w:t>
      </w:r>
      <w:r>
        <w:rPr>
          <w:rFonts w:hint="eastAsia"/>
          <w:sz w:val="24"/>
          <w:highlight w:val="none"/>
        </w:rPr>
        <w:t>5</w:t>
      </w:r>
      <w:r>
        <w:rPr>
          <w:sz w:val="24"/>
          <w:highlight w:val="none"/>
        </w:rPr>
        <w:t>名</w:t>
      </w:r>
      <w:r>
        <w:rPr>
          <w:rFonts w:hint="eastAsia"/>
          <w:sz w:val="24"/>
          <w:highlight w:val="none"/>
        </w:rPr>
        <w:t>。</w:t>
      </w:r>
      <w:r>
        <w:rPr>
          <w:rFonts w:hint="eastAsia" w:ascii="宋体" w:hAnsi="宋体" w:cs="宋体"/>
          <w:sz w:val="24"/>
          <w:highlight w:val="none"/>
        </w:rPr>
        <w:t>其中，董事孙峰女士</w:t>
      </w:r>
      <w:r>
        <w:rPr>
          <w:rFonts w:hint="eastAsia" w:ascii="宋体" w:hAnsi="宋体" w:cs="宋体"/>
          <w:sz w:val="24"/>
          <w:highlight w:val="none"/>
          <w:lang w:eastAsia="zh-CN"/>
        </w:rPr>
        <w:t>、</w:t>
      </w:r>
      <w:r>
        <w:rPr>
          <w:rFonts w:hint="eastAsia" w:ascii="宋体" w:hAnsi="宋体" w:cs="宋体"/>
          <w:sz w:val="24"/>
          <w:highlight w:val="none"/>
          <w:lang w:val="en-US" w:eastAsia="zh-CN"/>
        </w:rPr>
        <w:t>独立董事韩俊梅女士、邓超先生</w:t>
      </w:r>
      <w:r>
        <w:rPr>
          <w:rFonts w:ascii="宋体" w:hAnsi="宋体" w:cs="宋体"/>
          <w:sz w:val="24"/>
          <w:highlight w:val="none"/>
        </w:rPr>
        <w:t>以通讯方式出席会议</w:t>
      </w:r>
      <w:r>
        <w:rPr>
          <w:sz w:val="24"/>
          <w:highlight w:val="none"/>
        </w:rPr>
        <w:t>。</w:t>
      </w:r>
    </w:p>
    <w:p w14:paraId="1E1CDA41">
      <w:pPr>
        <w:keepNext w:val="0"/>
        <w:keepLines w:val="0"/>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highlight w:val="none"/>
        </w:rPr>
      </w:pPr>
      <w:r>
        <w:rPr>
          <w:sz w:val="24"/>
          <w:highlight w:val="none"/>
        </w:rPr>
        <w:t>4</w:t>
      </w:r>
      <w:r>
        <w:rPr>
          <w:rFonts w:hint="eastAsia" w:ascii="宋体" w:hAnsi="宋体" w:cs="宋体"/>
          <w:sz w:val="24"/>
          <w:highlight w:val="none"/>
        </w:rPr>
        <w:t>、本次会议由公司董事长张永明先生召集并主持，公司</w:t>
      </w:r>
      <w:r>
        <w:rPr>
          <w:rFonts w:hint="eastAsia" w:ascii="宋体" w:hAnsi="宋体" w:cs="宋体"/>
          <w:sz w:val="24"/>
          <w:highlight w:val="none"/>
          <w:lang w:val="en-US" w:eastAsia="zh-CN"/>
        </w:rPr>
        <w:t>监事、部分</w:t>
      </w:r>
      <w:r>
        <w:rPr>
          <w:rFonts w:hint="eastAsia" w:ascii="宋体" w:hAnsi="宋体" w:cs="宋体"/>
          <w:sz w:val="24"/>
          <w:highlight w:val="none"/>
        </w:rPr>
        <w:t>高级管理人员列席了会议。</w:t>
      </w:r>
    </w:p>
    <w:p w14:paraId="77FE1E03">
      <w:pPr>
        <w:keepNext w:val="0"/>
        <w:keepLines w:val="0"/>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highlight w:val="none"/>
        </w:rPr>
      </w:pPr>
      <w:r>
        <w:rPr>
          <w:sz w:val="24"/>
          <w:highlight w:val="none"/>
        </w:rPr>
        <w:t>5</w:t>
      </w:r>
      <w:r>
        <w:rPr>
          <w:rFonts w:hint="eastAsia" w:ascii="宋体" w:hAnsi="宋体" w:cs="宋体"/>
          <w:sz w:val="24"/>
          <w:highlight w:val="none"/>
        </w:rPr>
        <w:t>、本次会议的召集和召开符合《公司法》《公司章程》和《董事会议事规则》的有关规定。</w:t>
      </w:r>
    </w:p>
    <w:p w14:paraId="522A9800">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ind w:left="0" w:firstLine="482" w:firstLineChars="200"/>
        <w:textAlignment w:val="auto"/>
        <w:rPr>
          <w:rFonts w:ascii="宋体" w:hAnsi="宋体" w:cs="宋体"/>
          <w:b/>
          <w:bCs/>
          <w:sz w:val="24"/>
          <w:highlight w:val="none"/>
        </w:rPr>
      </w:pPr>
      <w:r>
        <w:rPr>
          <w:rFonts w:hint="eastAsia" w:ascii="宋体" w:hAnsi="宋体" w:cs="宋体"/>
          <w:b/>
          <w:bCs/>
          <w:sz w:val="24"/>
          <w:highlight w:val="none"/>
        </w:rPr>
        <w:t>二、董事会会议审议情况</w:t>
      </w:r>
    </w:p>
    <w:p w14:paraId="6B97E155">
      <w:pPr>
        <w:keepNext w:val="0"/>
        <w:keepLines w:val="0"/>
        <w:pageBreakBefore w:val="0"/>
        <w:kinsoku/>
        <w:wordWrap/>
        <w:overflowPunct/>
        <w:topLinePunct w:val="0"/>
        <w:autoSpaceDE/>
        <w:autoSpaceDN/>
        <w:bidi w:val="0"/>
        <w:adjustRightInd/>
        <w:snapToGrid/>
        <w:spacing w:line="500" w:lineRule="exact"/>
        <w:ind w:left="0" w:firstLine="480" w:firstLineChars="200"/>
        <w:textAlignment w:val="auto"/>
        <w:rPr>
          <w:rFonts w:ascii="宋体"/>
          <w:sz w:val="24"/>
          <w:highlight w:val="none"/>
        </w:rPr>
      </w:pPr>
      <w:r>
        <w:rPr>
          <w:rFonts w:hint="eastAsia" w:ascii="宋体" w:hAnsi="宋体" w:cs="宋体"/>
          <w:sz w:val="24"/>
          <w:highlight w:val="none"/>
        </w:rPr>
        <w:t>会议采取记名投票的方式进行表决，经与会董事的认真审议与表决，形成如下决议：</w:t>
      </w:r>
    </w:p>
    <w:p w14:paraId="5CC92871">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500" w:lineRule="exact"/>
        <w:ind w:left="0" w:firstLine="482" w:firstLineChars="200"/>
        <w:textAlignment w:val="auto"/>
        <w:rPr>
          <w:rFonts w:ascii="宋体"/>
          <w:b/>
          <w:bCs/>
          <w:sz w:val="24"/>
          <w:highlight w:val="none"/>
        </w:rPr>
      </w:pPr>
      <w:r>
        <w:rPr>
          <w:rFonts w:hint="eastAsia" w:ascii="宋体" w:cs="宋体"/>
          <w:b/>
          <w:bCs/>
          <w:sz w:val="24"/>
          <w:highlight w:val="none"/>
        </w:rPr>
        <w:t>审议通过《关于公司终止向特定对象发行股票事项并撤回申请文件的议案》</w:t>
      </w:r>
    </w:p>
    <w:p w14:paraId="39F8E602">
      <w:pPr>
        <w:keepNext w:val="0"/>
        <w:keepLines w:val="0"/>
        <w:pageBreakBefore w:val="0"/>
        <w:kinsoku/>
        <w:wordWrap/>
        <w:overflowPunct/>
        <w:topLinePunct w:val="0"/>
        <w:autoSpaceDE/>
        <w:autoSpaceDN/>
        <w:bidi w:val="0"/>
        <w:adjustRightInd/>
        <w:snapToGrid/>
        <w:spacing w:line="500" w:lineRule="exact"/>
        <w:ind w:left="0" w:firstLine="480" w:firstLineChars="200"/>
        <w:textAlignment w:val="auto"/>
        <w:rPr>
          <w:rFonts w:hint="eastAsia" w:ascii="宋体" w:hAnsi="宋体" w:cs="宋体"/>
          <w:sz w:val="24"/>
          <w:szCs w:val="24"/>
          <w:highlight w:val="none"/>
          <w:lang w:eastAsia="zh-CN"/>
        </w:rPr>
      </w:pPr>
      <w:r>
        <w:rPr>
          <w:rFonts w:hint="eastAsia" w:ascii="宋体" w:hAnsi="宋体" w:cs="宋体"/>
          <w:sz w:val="24"/>
          <w:szCs w:val="24"/>
          <w:highlight w:val="none"/>
          <w:lang w:eastAsia="zh-CN"/>
        </w:rPr>
        <w:t>自公司披露本次向特定对象发行股票预案以来，公司与相关中介机构积极推进相关工作。由于市场环境的变化，在综合考虑资本市场状况以及公司整体发展规划等因素，经与相关各方充分沟通、审慎分析后，公司决定终止本次向特定对象发行股票事项并撤回相关申请文件。</w:t>
      </w:r>
    </w:p>
    <w:p w14:paraId="4BB79BBA">
      <w:pPr>
        <w:keepNext w:val="0"/>
        <w:keepLines w:val="0"/>
        <w:pageBreakBefore w:val="0"/>
        <w:kinsoku/>
        <w:wordWrap/>
        <w:overflowPunct/>
        <w:topLinePunct w:val="0"/>
        <w:autoSpaceDE/>
        <w:autoSpaceDN/>
        <w:bidi w:val="0"/>
        <w:adjustRightInd/>
        <w:snapToGrid/>
        <w:spacing w:line="500" w:lineRule="exact"/>
        <w:ind w:left="0" w:firstLine="480" w:firstLineChars="200"/>
        <w:textAlignment w:val="auto"/>
        <w:rPr>
          <w:rFonts w:hint="eastAsia" w:ascii="宋体" w:hAnsi="宋体" w:cs="宋体"/>
          <w:sz w:val="24"/>
          <w:szCs w:val="24"/>
          <w:highlight w:val="none"/>
          <w:lang w:eastAsia="zh-CN"/>
        </w:rPr>
      </w:pPr>
      <w:r>
        <w:rPr>
          <w:rFonts w:hint="eastAsia" w:ascii="宋体" w:hAnsi="宋体" w:cs="宋体"/>
          <w:sz w:val="24"/>
          <w:szCs w:val="24"/>
          <w:highlight w:val="none"/>
          <w:lang w:eastAsia="zh-CN"/>
        </w:rPr>
        <w:t>具体内容详见公司同日刊登在中国证监会指定的信息披露网站巨潮资讯网（</w:t>
      </w:r>
      <w:r>
        <w:rPr>
          <w:rFonts w:hint="default" w:ascii="Times New Roman" w:hAnsi="Times New Roman" w:cs="Times New Roman"/>
          <w:sz w:val="24"/>
          <w:szCs w:val="24"/>
          <w:highlight w:val="none"/>
          <w:lang w:val="en-US" w:eastAsia="zh-CN"/>
        </w:rPr>
        <w:t>http://</w:t>
      </w:r>
      <w:r>
        <w:rPr>
          <w:rFonts w:hint="default" w:ascii="Times New Roman" w:hAnsi="Times New Roman" w:cs="Times New Roman"/>
          <w:sz w:val="24"/>
          <w:szCs w:val="24"/>
          <w:highlight w:val="none"/>
          <w:lang w:eastAsia="zh-CN"/>
        </w:rPr>
        <w:t>www.cninfo.com.cn</w:t>
      </w:r>
      <w:r>
        <w:rPr>
          <w:rFonts w:hint="eastAsia" w:ascii="宋体" w:hAnsi="宋体" w:cs="宋体"/>
          <w:sz w:val="24"/>
          <w:szCs w:val="24"/>
          <w:highlight w:val="none"/>
          <w:lang w:eastAsia="zh-CN"/>
        </w:rPr>
        <w:t>）上的《关于公司终止向特定对象发行股票事项并撤回申请文件的公告》。</w:t>
      </w:r>
    </w:p>
    <w:p w14:paraId="6805E37E">
      <w:pPr>
        <w:keepNext w:val="0"/>
        <w:keepLines w:val="0"/>
        <w:pageBreakBefore w:val="0"/>
        <w:kinsoku/>
        <w:wordWrap/>
        <w:overflowPunct/>
        <w:topLinePunct w:val="0"/>
        <w:autoSpaceDE/>
        <w:autoSpaceDN/>
        <w:bidi w:val="0"/>
        <w:adjustRightInd/>
        <w:snapToGrid/>
        <w:spacing w:line="500" w:lineRule="exact"/>
        <w:ind w:left="0" w:firstLine="480" w:firstLineChars="200"/>
        <w:textAlignment w:val="auto"/>
        <w:rPr>
          <w:rFonts w:hint="eastAsia"/>
          <w:sz w:val="24"/>
          <w:highlight w:val="none"/>
          <w:lang w:eastAsia="zh-CN"/>
        </w:rPr>
      </w:pPr>
      <w:r>
        <w:rPr>
          <w:rFonts w:hint="eastAsia"/>
          <w:sz w:val="24"/>
          <w:highlight w:val="none"/>
          <w:lang w:val="en-US" w:eastAsia="zh-CN"/>
        </w:rPr>
        <w:t>本议案已经公司独立董事专门会议审议通过</w:t>
      </w:r>
      <w:r>
        <w:rPr>
          <w:rFonts w:hint="eastAsia"/>
          <w:sz w:val="24"/>
          <w:highlight w:val="none"/>
          <w:lang w:eastAsia="zh-CN"/>
        </w:rPr>
        <w:t>。</w:t>
      </w:r>
    </w:p>
    <w:p w14:paraId="6529FA99">
      <w:pPr>
        <w:keepNext w:val="0"/>
        <w:keepLines w:val="0"/>
        <w:pageBreakBefore w:val="0"/>
        <w:kinsoku/>
        <w:wordWrap/>
        <w:overflowPunct/>
        <w:topLinePunct w:val="0"/>
        <w:autoSpaceDE/>
        <w:autoSpaceDN/>
        <w:bidi w:val="0"/>
        <w:adjustRightInd/>
        <w:snapToGrid/>
        <w:spacing w:line="500" w:lineRule="exact"/>
        <w:ind w:left="0" w:firstLine="480" w:firstLineChars="200"/>
        <w:textAlignment w:val="auto"/>
        <w:rPr>
          <w:sz w:val="24"/>
          <w:highlight w:val="none"/>
        </w:rPr>
      </w:pPr>
      <w:r>
        <w:rPr>
          <w:rFonts w:hint="eastAsia"/>
          <w:sz w:val="24"/>
          <w:highlight w:val="none"/>
          <w:lang w:val="en-US" w:eastAsia="zh-CN"/>
        </w:rPr>
        <w:t>关联</w:t>
      </w:r>
      <w:r>
        <w:rPr>
          <w:sz w:val="24"/>
          <w:highlight w:val="none"/>
        </w:rPr>
        <w:t>董事张永明</w:t>
      </w:r>
      <w:r>
        <w:rPr>
          <w:rFonts w:hint="eastAsia"/>
          <w:sz w:val="24"/>
          <w:highlight w:val="none"/>
        </w:rPr>
        <w:t>、孙峰</w:t>
      </w:r>
      <w:r>
        <w:rPr>
          <w:rFonts w:hint="eastAsia"/>
          <w:sz w:val="24"/>
          <w:highlight w:val="none"/>
          <w:lang w:val="en-US" w:eastAsia="zh-CN"/>
        </w:rPr>
        <w:t>对本</w:t>
      </w:r>
      <w:r>
        <w:rPr>
          <w:sz w:val="24"/>
          <w:highlight w:val="none"/>
        </w:rPr>
        <w:t>议案回避表决</w:t>
      </w:r>
      <w:r>
        <w:rPr>
          <w:rFonts w:hint="eastAsia"/>
          <w:sz w:val="24"/>
          <w:highlight w:val="none"/>
        </w:rPr>
        <w:t>。</w:t>
      </w:r>
    </w:p>
    <w:p w14:paraId="01DE8F22">
      <w:pPr>
        <w:keepNext w:val="0"/>
        <w:keepLines w:val="0"/>
        <w:pageBreakBefore w:val="0"/>
        <w:kinsoku/>
        <w:wordWrap/>
        <w:overflowPunct/>
        <w:topLinePunct w:val="0"/>
        <w:autoSpaceDE/>
        <w:autoSpaceDN/>
        <w:bidi w:val="0"/>
        <w:adjustRightInd/>
        <w:snapToGrid/>
        <w:spacing w:line="500" w:lineRule="exact"/>
        <w:ind w:left="0" w:firstLine="480" w:firstLineChars="200"/>
        <w:textAlignment w:val="auto"/>
        <w:rPr>
          <w:sz w:val="24"/>
          <w:highlight w:val="none"/>
        </w:rPr>
      </w:pPr>
      <w:r>
        <w:rPr>
          <w:sz w:val="24"/>
          <w:highlight w:val="none"/>
        </w:rPr>
        <w:t>表决结果：同意3票；反对0票；弃权0票</w:t>
      </w:r>
      <w:r>
        <w:rPr>
          <w:rFonts w:hint="eastAsia"/>
          <w:sz w:val="24"/>
          <w:highlight w:val="none"/>
          <w:lang w:eastAsia="zh-CN"/>
        </w:rPr>
        <w:t>；</w:t>
      </w:r>
      <w:r>
        <w:rPr>
          <w:rFonts w:hint="eastAsia"/>
          <w:sz w:val="24"/>
          <w:highlight w:val="none"/>
          <w:lang w:val="en-US" w:eastAsia="zh-CN"/>
        </w:rPr>
        <w:t>回避2票</w:t>
      </w:r>
      <w:r>
        <w:rPr>
          <w:sz w:val="24"/>
          <w:highlight w:val="none"/>
        </w:rPr>
        <w:t>。</w:t>
      </w:r>
    </w:p>
    <w:p w14:paraId="7B0959D3">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500" w:lineRule="exact"/>
        <w:ind w:left="0" w:firstLine="482" w:firstLineChars="200"/>
        <w:textAlignment w:val="auto"/>
        <w:rPr>
          <w:b/>
          <w:bCs/>
          <w:sz w:val="24"/>
          <w:highlight w:val="none"/>
        </w:rPr>
      </w:pPr>
      <w:r>
        <w:rPr>
          <w:b/>
          <w:bCs/>
          <w:sz w:val="24"/>
          <w:highlight w:val="none"/>
        </w:rPr>
        <w:t>审议通过《关于</w:t>
      </w:r>
      <w:r>
        <w:rPr>
          <w:rFonts w:hint="eastAsia"/>
          <w:b/>
          <w:bCs/>
          <w:sz w:val="24"/>
          <w:highlight w:val="none"/>
          <w:lang w:val="en-US" w:eastAsia="zh-CN"/>
        </w:rPr>
        <w:t>制定&lt;董事、高级管理人员离职管理制度&gt;</w:t>
      </w:r>
      <w:r>
        <w:rPr>
          <w:b/>
          <w:bCs/>
          <w:sz w:val="24"/>
          <w:highlight w:val="none"/>
        </w:rPr>
        <w:t>的议案》</w:t>
      </w:r>
    </w:p>
    <w:p w14:paraId="4D10B979">
      <w:pPr>
        <w:keepNext w:val="0"/>
        <w:keepLines w:val="0"/>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ascii="宋体" w:hAnsi="宋体" w:eastAsia="宋体" w:cs="宋体"/>
          <w:sz w:val="24"/>
          <w:szCs w:val="24"/>
          <w:highlight w:val="none"/>
        </w:rPr>
      </w:pPr>
      <w:r>
        <w:rPr>
          <w:rFonts w:hint="eastAsia" w:eastAsia="宋体"/>
          <w:sz w:val="24"/>
          <w:lang w:eastAsia="zh-CN"/>
        </w:rPr>
        <w:t>为全面贯彻落实最新法律法规</w:t>
      </w:r>
      <w:r>
        <w:rPr>
          <w:rFonts w:hint="eastAsia"/>
          <w:sz w:val="24"/>
          <w:lang w:val="en-US" w:eastAsia="zh-CN"/>
        </w:rPr>
        <w:t>和监管规定</w:t>
      </w:r>
      <w:r>
        <w:rPr>
          <w:rFonts w:hint="eastAsia" w:eastAsia="宋体"/>
          <w:sz w:val="24"/>
          <w:lang w:eastAsia="zh-CN"/>
        </w:rPr>
        <w:t>要求，进一步规范公司运作机制，</w:t>
      </w:r>
      <w:r>
        <w:rPr>
          <w:rFonts w:hint="eastAsia"/>
          <w:sz w:val="24"/>
          <w:lang w:val="en-US" w:eastAsia="zh-CN"/>
        </w:rPr>
        <w:t>持续</w:t>
      </w:r>
      <w:r>
        <w:rPr>
          <w:rFonts w:hint="eastAsia" w:eastAsia="宋体"/>
          <w:sz w:val="24"/>
          <w:lang w:eastAsia="zh-CN"/>
        </w:rPr>
        <w:t>提升公司治理水平，根据</w:t>
      </w:r>
      <w:r>
        <w:rPr>
          <w:rFonts w:hint="default" w:ascii="Times New Roman" w:hAnsi="Times New Roman" w:cs="Times New Roman"/>
          <w:kern w:val="0"/>
          <w:sz w:val="24"/>
          <w:highlight w:val="none"/>
        </w:rPr>
        <w:t>《公司法》</w:t>
      </w:r>
      <w:r>
        <w:rPr>
          <w:rFonts w:hint="eastAsia" w:eastAsia="宋体"/>
          <w:sz w:val="24"/>
          <w:lang w:eastAsia="zh-CN"/>
        </w:rPr>
        <w:t>《上市公司章程指引》《深圳证券交易所创业板股票上市规则》《深圳证券交易所上市公司自律监管指引第2号——创业板上市公司规范运作》等</w:t>
      </w:r>
      <w:r>
        <w:rPr>
          <w:rFonts w:hint="eastAsia"/>
          <w:sz w:val="24"/>
          <w:lang w:val="en-US" w:eastAsia="zh-CN"/>
        </w:rPr>
        <w:t>相关</w:t>
      </w:r>
      <w:r>
        <w:rPr>
          <w:rFonts w:hint="eastAsia" w:eastAsia="宋体"/>
          <w:sz w:val="24"/>
          <w:lang w:eastAsia="zh-CN"/>
        </w:rPr>
        <w:t>法律法规、规范性文件的要求，结合公司实际，公司</w:t>
      </w:r>
      <w:r>
        <w:rPr>
          <w:rFonts w:hint="eastAsia"/>
          <w:sz w:val="24"/>
          <w:lang w:val="en-US" w:eastAsia="zh-CN"/>
        </w:rPr>
        <w:t>制定了</w:t>
      </w:r>
      <w:r>
        <w:rPr>
          <w:rFonts w:hint="eastAsia" w:ascii="宋体" w:hAnsi="宋体" w:cs="宋体"/>
          <w:sz w:val="24"/>
          <w:szCs w:val="24"/>
          <w:highlight w:val="none"/>
          <w:lang w:eastAsia="zh-CN"/>
        </w:rPr>
        <w:t>《董事、高级管理人员离职管理制度》</w:t>
      </w:r>
      <w:r>
        <w:rPr>
          <w:rFonts w:ascii="宋体" w:hAnsi="宋体" w:eastAsia="宋体" w:cs="宋体"/>
          <w:sz w:val="24"/>
          <w:szCs w:val="24"/>
          <w:highlight w:val="none"/>
        </w:rPr>
        <w:t>。</w:t>
      </w:r>
    </w:p>
    <w:p w14:paraId="76417163">
      <w:pPr>
        <w:keepNext w:val="0"/>
        <w:keepLines w:val="0"/>
        <w:pageBreakBefore w:val="0"/>
        <w:widowControl w:val="0"/>
        <w:kinsoku/>
        <w:wordWrap/>
        <w:overflowPunct/>
        <w:topLinePunct w:val="0"/>
        <w:autoSpaceDE/>
        <w:autoSpaceDN/>
        <w:bidi w:val="0"/>
        <w:adjustRightInd/>
        <w:snapToGrid/>
        <w:spacing w:line="500" w:lineRule="exact"/>
        <w:ind w:left="0" w:firstLine="480" w:firstLineChars="200"/>
        <w:textAlignment w:val="auto"/>
        <w:rPr>
          <w:rFonts w:ascii="宋体" w:hAnsi="宋体" w:eastAsia="宋体" w:cs="宋体"/>
          <w:sz w:val="24"/>
          <w:szCs w:val="24"/>
          <w:highlight w:val="none"/>
        </w:rPr>
      </w:pPr>
      <w:r>
        <w:rPr>
          <w:rFonts w:ascii="宋体" w:hAnsi="宋体" w:eastAsia="宋体" w:cs="宋体"/>
          <w:sz w:val="24"/>
          <w:szCs w:val="24"/>
          <w:highlight w:val="none"/>
        </w:rPr>
        <w:t>具体内容详见公司同日</w:t>
      </w:r>
      <w:r>
        <w:rPr>
          <w:rFonts w:hint="eastAsia"/>
          <w:sz w:val="24"/>
          <w:highlight w:val="none"/>
        </w:rPr>
        <w:t>刊登在中国证监会指定的信息披露网站</w:t>
      </w:r>
      <w:r>
        <w:rPr>
          <w:rFonts w:ascii="宋体" w:hAnsi="宋体" w:eastAsia="宋体" w:cs="宋体"/>
          <w:sz w:val="24"/>
          <w:szCs w:val="24"/>
          <w:highlight w:val="none"/>
        </w:rPr>
        <w:t>巨潮资讯网（</w:t>
      </w:r>
      <w:r>
        <w:rPr>
          <w:rFonts w:hint="eastAsia" w:ascii="Times New Roman" w:hAnsi="Times New Roman" w:eastAsia="宋体" w:cs="Times New Roman"/>
          <w:sz w:val="24"/>
          <w:szCs w:val="24"/>
          <w:highlight w:val="none"/>
          <w:lang w:val="en-US" w:eastAsia="zh-CN"/>
        </w:rPr>
        <w:t>http://</w:t>
      </w:r>
      <w:r>
        <w:rPr>
          <w:rFonts w:hint="default" w:ascii="Times New Roman" w:hAnsi="Times New Roman" w:eastAsia="宋体" w:cs="Times New Roman"/>
          <w:sz w:val="24"/>
          <w:szCs w:val="24"/>
          <w:highlight w:val="none"/>
        </w:rPr>
        <w:t>www.cninfo.com.cn</w:t>
      </w:r>
      <w:r>
        <w:rPr>
          <w:rFonts w:ascii="宋体" w:hAnsi="宋体" w:eastAsia="宋体" w:cs="宋体"/>
          <w:sz w:val="24"/>
          <w:szCs w:val="24"/>
          <w:highlight w:val="none"/>
        </w:rPr>
        <w:t>）上的</w:t>
      </w:r>
      <w:r>
        <w:rPr>
          <w:rFonts w:hint="eastAsia" w:ascii="宋体" w:hAnsi="宋体" w:cs="宋体"/>
          <w:sz w:val="24"/>
          <w:szCs w:val="24"/>
          <w:highlight w:val="none"/>
          <w:lang w:eastAsia="zh-CN"/>
        </w:rPr>
        <w:t>《董事、</w:t>
      </w:r>
      <w:bookmarkStart w:id="0" w:name="_GoBack"/>
      <w:bookmarkEnd w:id="0"/>
      <w:r>
        <w:rPr>
          <w:rFonts w:hint="eastAsia" w:ascii="宋体" w:hAnsi="宋体" w:cs="宋体"/>
          <w:sz w:val="24"/>
          <w:szCs w:val="24"/>
          <w:highlight w:val="none"/>
          <w:lang w:eastAsia="zh-CN"/>
        </w:rPr>
        <w:t>高级管理人员离职管理制度》</w:t>
      </w:r>
      <w:r>
        <w:rPr>
          <w:rFonts w:ascii="宋体" w:hAnsi="宋体" w:eastAsia="宋体" w:cs="宋体"/>
          <w:sz w:val="24"/>
          <w:szCs w:val="24"/>
          <w:highlight w:val="none"/>
        </w:rPr>
        <w:t>。</w:t>
      </w:r>
    </w:p>
    <w:p w14:paraId="38B9BD80">
      <w:pPr>
        <w:keepNext w:val="0"/>
        <w:keepLines w:val="0"/>
        <w:pageBreakBefore w:val="0"/>
        <w:kinsoku/>
        <w:wordWrap/>
        <w:overflowPunct/>
        <w:topLinePunct w:val="0"/>
        <w:autoSpaceDE/>
        <w:autoSpaceDN/>
        <w:bidi w:val="0"/>
        <w:adjustRightInd/>
        <w:snapToGrid/>
        <w:spacing w:line="500" w:lineRule="exact"/>
        <w:ind w:left="0" w:firstLine="480" w:firstLineChars="200"/>
        <w:textAlignment w:val="auto"/>
        <w:rPr>
          <w:sz w:val="24"/>
          <w:highlight w:val="none"/>
        </w:rPr>
      </w:pPr>
      <w:r>
        <w:rPr>
          <w:sz w:val="24"/>
          <w:highlight w:val="none"/>
        </w:rPr>
        <w:t>表决结果：同意</w:t>
      </w:r>
      <w:r>
        <w:rPr>
          <w:rFonts w:hint="eastAsia"/>
          <w:sz w:val="24"/>
          <w:highlight w:val="none"/>
          <w:lang w:val="en-US" w:eastAsia="zh-CN"/>
        </w:rPr>
        <w:t>5</w:t>
      </w:r>
      <w:r>
        <w:rPr>
          <w:sz w:val="24"/>
          <w:highlight w:val="none"/>
        </w:rPr>
        <w:t>票；反对0票；弃权0票。</w:t>
      </w:r>
    </w:p>
    <w:p w14:paraId="601AB116">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ind w:left="0" w:firstLine="482" w:firstLineChars="200"/>
        <w:textAlignment w:val="auto"/>
        <w:rPr>
          <w:sz w:val="24"/>
          <w:highlight w:val="none"/>
        </w:rPr>
      </w:pPr>
      <w:r>
        <w:rPr>
          <w:rFonts w:hint="eastAsia" w:ascii="宋体" w:hAnsi="宋体" w:cs="宋体"/>
          <w:b/>
          <w:bCs/>
          <w:sz w:val="24"/>
          <w:highlight w:val="none"/>
        </w:rPr>
        <w:t>三、备查文件</w:t>
      </w:r>
    </w:p>
    <w:p w14:paraId="384FFD15">
      <w:pPr>
        <w:keepNext w:val="0"/>
        <w:keepLines w:val="0"/>
        <w:pageBreakBefore w:val="0"/>
        <w:kinsoku/>
        <w:wordWrap/>
        <w:overflowPunct/>
        <w:topLinePunct w:val="0"/>
        <w:autoSpaceDE/>
        <w:autoSpaceDN/>
        <w:bidi w:val="0"/>
        <w:adjustRightInd/>
        <w:snapToGrid/>
        <w:spacing w:line="500" w:lineRule="exact"/>
        <w:ind w:left="0" w:firstLine="480" w:firstLineChars="200"/>
        <w:textAlignment w:val="auto"/>
        <w:rPr>
          <w:sz w:val="24"/>
          <w:highlight w:val="none"/>
        </w:rPr>
      </w:pPr>
      <w:r>
        <w:rPr>
          <w:rFonts w:hint="eastAsia"/>
          <w:sz w:val="24"/>
          <w:highlight w:val="none"/>
        </w:rPr>
        <w:t>1、第六届董事会</w:t>
      </w:r>
      <w:r>
        <w:rPr>
          <w:rFonts w:hint="eastAsia"/>
          <w:sz w:val="24"/>
          <w:highlight w:val="none"/>
          <w:lang w:val="en-US" w:eastAsia="zh-CN"/>
        </w:rPr>
        <w:t>独立董事专门会议第四次会议决议</w:t>
      </w:r>
      <w:r>
        <w:rPr>
          <w:rFonts w:hint="eastAsia"/>
          <w:sz w:val="24"/>
          <w:highlight w:val="none"/>
          <w:lang w:eastAsia="zh-CN"/>
        </w:rPr>
        <w:t>；</w:t>
      </w:r>
    </w:p>
    <w:p w14:paraId="35DEA9A6">
      <w:pPr>
        <w:keepNext w:val="0"/>
        <w:keepLines w:val="0"/>
        <w:pageBreakBefore w:val="0"/>
        <w:kinsoku/>
        <w:wordWrap/>
        <w:overflowPunct/>
        <w:topLinePunct w:val="0"/>
        <w:autoSpaceDE/>
        <w:autoSpaceDN/>
        <w:bidi w:val="0"/>
        <w:adjustRightInd/>
        <w:snapToGrid/>
        <w:spacing w:line="500" w:lineRule="exact"/>
        <w:ind w:left="0" w:firstLine="480" w:firstLineChars="200"/>
        <w:textAlignment w:val="auto"/>
        <w:rPr>
          <w:rFonts w:hint="eastAsia"/>
          <w:sz w:val="24"/>
          <w:highlight w:val="none"/>
          <w:lang w:val="en-US" w:eastAsia="zh-CN"/>
        </w:rPr>
      </w:pPr>
      <w:r>
        <w:rPr>
          <w:rFonts w:hint="eastAsia"/>
          <w:sz w:val="24"/>
          <w:highlight w:val="none"/>
        </w:rPr>
        <w:t>2、第六届董事会第</w:t>
      </w:r>
      <w:r>
        <w:rPr>
          <w:rFonts w:hint="eastAsia"/>
          <w:sz w:val="24"/>
          <w:highlight w:val="none"/>
          <w:lang w:val="en-US" w:eastAsia="zh-CN"/>
        </w:rPr>
        <w:t>十五</w:t>
      </w:r>
      <w:r>
        <w:rPr>
          <w:rFonts w:hint="eastAsia"/>
          <w:sz w:val="24"/>
          <w:highlight w:val="none"/>
        </w:rPr>
        <w:t>次会议决议</w:t>
      </w:r>
      <w:r>
        <w:rPr>
          <w:rFonts w:hint="eastAsia"/>
          <w:sz w:val="24"/>
          <w:highlight w:val="none"/>
          <w:lang w:val="en-US" w:eastAsia="zh-CN"/>
        </w:rPr>
        <w:t>。</w:t>
      </w:r>
    </w:p>
    <w:p w14:paraId="1C70BAF2">
      <w:pPr>
        <w:keepNext w:val="0"/>
        <w:keepLines w:val="0"/>
        <w:pageBreakBefore w:val="0"/>
        <w:kinsoku/>
        <w:wordWrap/>
        <w:overflowPunct/>
        <w:topLinePunct w:val="0"/>
        <w:autoSpaceDE/>
        <w:autoSpaceDN/>
        <w:bidi w:val="0"/>
        <w:adjustRightInd/>
        <w:snapToGrid/>
        <w:spacing w:before="157" w:beforeLines="50" w:line="500" w:lineRule="exact"/>
        <w:ind w:left="0" w:firstLine="480" w:firstLineChars="200"/>
        <w:textAlignment w:val="auto"/>
        <w:rPr>
          <w:sz w:val="24"/>
          <w:highlight w:val="none"/>
        </w:rPr>
      </w:pPr>
      <w:r>
        <w:rPr>
          <w:sz w:val="24"/>
          <w:highlight w:val="none"/>
        </w:rPr>
        <w:t>特此公告。</w:t>
      </w:r>
    </w:p>
    <w:p w14:paraId="2CA5B877">
      <w:pPr>
        <w:keepNext w:val="0"/>
        <w:keepLines w:val="0"/>
        <w:pageBreakBefore w:val="0"/>
        <w:kinsoku/>
        <w:wordWrap/>
        <w:overflowPunct/>
        <w:topLinePunct w:val="0"/>
        <w:autoSpaceDE/>
        <w:autoSpaceDN/>
        <w:bidi w:val="0"/>
        <w:adjustRightInd/>
        <w:snapToGrid/>
        <w:spacing w:before="157" w:beforeLines="50" w:line="500" w:lineRule="exact"/>
        <w:ind w:left="0" w:firstLine="480" w:firstLineChars="200"/>
        <w:textAlignment w:val="auto"/>
        <w:rPr>
          <w:sz w:val="24"/>
          <w:highlight w:val="none"/>
        </w:rPr>
      </w:pPr>
    </w:p>
    <w:p w14:paraId="6766E0F0">
      <w:pPr>
        <w:spacing w:line="500" w:lineRule="exact"/>
        <w:ind w:left="5427" w:leftChars="2127" w:hanging="960" w:hangingChars="400"/>
        <w:jc w:val="right"/>
        <w:rPr>
          <w:rFonts w:hAnsi="宋体"/>
          <w:bCs/>
          <w:sz w:val="24"/>
          <w:highlight w:val="none"/>
        </w:rPr>
      </w:pPr>
      <w:r>
        <w:rPr>
          <w:rFonts w:hAnsi="宋体"/>
          <w:bCs/>
          <w:sz w:val="24"/>
          <w:highlight w:val="none"/>
        </w:rPr>
        <w:t>冠昊生物科技股份有限公司</w:t>
      </w:r>
      <w:r>
        <w:rPr>
          <w:rFonts w:hint="eastAsia" w:hAnsi="宋体"/>
          <w:bCs/>
          <w:sz w:val="24"/>
          <w:highlight w:val="none"/>
        </w:rPr>
        <w:t>董事</w:t>
      </w:r>
      <w:r>
        <w:rPr>
          <w:rFonts w:hAnsi="宋体"/>
          <w:bCs/>
          <w:sz w:val="24"/>
          <w:highlight w:val="none"/>
        </w:rPr>
        <w:t>会</w:t>
      </w:r>
    </w:p>
    <w:p w14:paraId="54BB5146">
      <w:pPr>
        <w:wordWrap w:val="0"/>
        <w:spacing w:line="500" w:lineRule="exact"/>
        <w:ind w:left="5307" w:leftChars="2527" w:firstLine="480"/>
        <w:jc w:val="right"/>
        <w:rPr>
          <w:sz w:val="24"/>
        </w:rPr>
      </w:pPr>
      <w:r>
        <w:rPr>
          <w:sz w:val="24"/>
          <w:highlight w:val="none"/>
        </w:rPr>
        <w:t>20</w:t>
      </w:r>
      <w:r>
        <w:rPr>
          <w:rFonts w:hint="eastAsia"/>
          <w:sz w:val="24"/>
          <w:highlight w:val="none"/>
        </w:rPr>
        <w:t>2</w:t>
      </w:r>
      <w:r>
        <w:rPr>
          <w:rFonts w:hint="eastAsia"/>
          <w:sz w:val="24"/>
          <w:highlight w:val="none"/>
          <w:lang w:val="en-US" w:eastAsia="zh-CN"/>
        </w:rPr>
        <w:t>5</w:t>
      </w:r>
      <w:r>
        <w:rPr>
          <w:sz w:val="24"/>
          <w:highlight w:val="none"/>
        </w:rPr>
        <w:t>年</w:t>
      </w:r>
      <w:r>
        <w:rPr>
          <w:rFonts w:hint="eastAsia"/>
          <w:sz w:val="24"/>
          <w:highlight w:val="none"/>
          <w:lang w:val="en-US" w:eastAsia="zh-CN"/>
        </w:rPr>
        <w:t>6</w:t>
      </w:r>
      <w:r>
        <w:rPr>
          <w:sz w:val="24"/>
          <w:highlight w:val="none"/>
        </w:rPr>
        <w:t>月</w:t>
      </w:r>
      <w:r>
        <w:rPr>
          <w:rFonts w:hint="eastAsia"/>
          <w:sz w:val="24"/>
          <w:highlight w:val="none"/>
          <w:lang w:val="en-US" w:eastAsia="zh-CN"/>
        </w:rPr>
        <w:t>24</w:t>
      </w:r>
      <w:r>
        <w:rPr>
          <w:sz w:val="24"/>
          <w:highlight w:val="none"/>
        </w:rPr>
        <w:t>日</w:t>
      </w:r>
      <w:r>
        <w:rPr>
          <w:rFonts w:hint="eastAsia"/>
          <w:sz w:val="24"/>
          <w:highlight w:val="none"/>
        </w:rPr>
        <w:t xml:space="preserve">      </w:t>
      </w:r>
      <w:r>
        <w:rPr>
          <w:rFonts w:hint="eastAsia"/>
          <w:sz w:val="24"/>
        </w:rPr>
        <w:t xml:space="preserve"> </w:t>
      </w:r>
    </w:p>
    <w:sectPr>
      <w:headerReference r:id="rId5" w:type="first"/>
      <w:footerReference r:id="rId8" w:type="first"/>
      <w:headerReference r:id="rId3" w:type="default"/>
      <w:footerReference r:id="rId6" w:type="default"/>
      <w:headerReference r:id="rId4" w:type="even"/>
      <w:footerReference r:id="rId7" w:type="even"/>
      <w:pgSz w:w="11907" w:h="16840"/>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繁体">
    <w:altName w:val="宋体"/>
    <w:panose1 w:val="020B0604020202020204"/>
    <w:charset w:val="86"/>
    <w:family w:val="swiss"/>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7FEC4F">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CB3702">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898A2">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216A1">
    <w:pPr>
      <w:pStyle w:val="8"/>
      <w:pBdr>
        <w:top w:val="none" w:color="auto" w:sz="0" w:space="0"/>
        <w:left w:val="none" w:color="auto" w:sz="0" w:space="0"/>
        <w:bottom w:val="none" w:color="auto" w:sz="0" w:space="1"/>
        <w:right w:val="none" w:color="auto" w:sz="0" w:space="0"/>
        <w:between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D973DB">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773CB2">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E90B22"/>
    <w:multiLevelType w:val="multilevel"/>
    <w:tmpl w:val="17E90B22"/>
    <w:lvl w:ilvl="0" w:tentative="0">
      <w:start w:val="1"/>
      <w:numFmt w:val="chineseCountingThousand"/>
      <w:lvlText w:val="（%1）"/>
      <w:lvlJc w:val="left"/>
      <w:pPr>
        <w:ind w:left="902" w:hanging="420"/>
      </w:pPr>
      <w:rPr>
        <w:rFonts w:hint="eastAsia"/>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iMzQ4MDZlNWYwNzEwODVkMjAzNjIxM2M2NjM5N2IifQ=="/>
  </w:docVars>
  <w:rsids>
    <w:rsidRoot w:val="00172A27"/>
    <w:rsid w:val="00003291"/>
    <w:rsid w:val="000066CA"/>
    <w:rsid w:val="00035879"/>
    <w:rsid w:val="00071CD2"/>
    <w:rsid w:val="00076791"/>
    <w:rsid w:val="000906F1"/>
    <w:rsid w:val="000A2A5F"/>
    <w:rsid w:val="000A70FF"/>
    <w:rsid w:val="000B50A0"/>
    <w:rsid w:val="000D51FB"/>
    <w:rsid w:val="000E3817"/>
    <w:rsid w:val="00126CD8"/>
    <w:rsid w:val="00160E16"/>
    <w:rsid w:val="00172A27"/>
    <w:rsid w:val="001760EC"/>
    <w:rsid w:val="0018083B"/>
    <w:rsid w:val="00193BC1"/>
    <w:rsid w:val="001A31CC"/>
    <w:rsid w:val="001A523E"/>
    <w:rsid w:val="001A52C1"/>
    <w:rsid w:val="001B7CBC"/>
    <w:rsid w:val="001C4877"/>
    <w:rsid w:val="001E1E40"/>
    <w:rsid w:val="001F2271"/>
    <w:rsid w:val="001F766C"/>
    <w:rsid w:val="002143E3"/>
    <w:rsid w:val="00227057"/>
    <w:rsid w:val="00247BF4"/>
    <w:rsid w:val="002719E6"/>
    <w:rsid w:val="00283FA7"/>
    <w:rsid w:val="002C46C0"/>
    <w:rsid w:val="002E2A3D"/>
    <w:rsid w:val="002F6223"/>
    <w:rsid w:val="00303AB8"/>
    <w:rsid w:val="00306207"/>
    <w:rsid w:val="003200D0"/>
    <w:rsid w:val="00342492"/>
    <w:rsid w:val="00360116"/>
    <w:rsid w:val="00364DAC"/>
    <w:rsid w:val="0039457F"/>
    <w:rsid w:val="003A177E"/>
    <w:rsid w:val="003E0F06"/>
    <w:rsid w:val="003E6119"/>
    <w:rsid w:val="003E7992"/>
    <w:rsid w:val="003F3E81"/>
    <w:rsid w:val="004121C0"/>
    <w:rsid w:val="0043133D"/>
    <w:rsid w:val="0043331A"/>
    <w:rsid w:val="00453090"/>
    <w:rsid w:val="00457F03"/>
    <w:rsid w:val="00461609"/>
    <w:rsid w:val="00496DA9"/>
    <w:rsid w:val="004A2739"/>
    <w:rsid w:val="004B4B8B"/>
    <w:rsid w:val="004C3C1B"/>
    <w:rsid w:val="004D3733"/>
    <w:rsid w:val="004F581A"/>
    <w:rsid w:val="00502430"/>
    <w:rsid w:val="0050694E"/>
    <w:rsid w:val="005175E4"/>
    <w:rsid w:val="0055719D"/>
    <w:rsid w:val="00567C14"/>
    <w:rsid w:val="00591AF0"/>
    <w:rsid w:val="0059334B"/>
    <w:rsid w:val="005B26C3"/>
    <w:rsid w:val="005B74DB"/>
    <w:rsid w:val="006178C7"/>
    <w:rsid w:val="0062180E"/>
    <w:rsid w:val="00621C36"/>
    <w:rsid w:val="00646695"/>
    <w:rsid w:val="00672BA2"/>
    <w:rsid w:val="00680B8C"/>
    <w:rsid w:val="006874FB"/>
    <w:rsid w:val="006A5DC7"/>
    <w:rsid w:val="006B15BD"/>
    <w:rsid w:val="006F5F62"/>
    <w:rsid w:val="00700F29"/>
    <w:rsid w:val="00713DBA"/>
    <w:rsid w:val="00726A1E"/>
    <w:rsid w:val="00742821"/>
    <w:rsid w:val="00743FCC"/>
    <w:rsid w:val="00777DEE"/>
    <w:rsid w:val="007826B5"/>
    <w:rsid w:val="00783D32"/>
    <w:rsid w:val="0079014C"/>
    <w:rsid w:val="00792C13"/>
    <w:rsid w:val="00793460"/>
    <w:rsid w:val="007A00BA"/>
    <w:rsid w:val="007A780C"/>
    <w:rsid w:val="007B4EAE"/>
    <w:rsid w:val="00821F6B"/>
    <w:rsid w:val="008760AA"/>
    <w:rsid w:val="00886261"/>
    <w:rsid w:val="008948AA"/>
    <w:rsid w:val="008B2175"/>
    <w:rsid w:val="00917D22"/>
    <w:rsid w:val="00944C85"/>
    <w:rsid w:val="00964F1C"/>
    <w:rsid w:val="009808C3"/>
    <w:rsid w:val="00997FD0"/>
    <w:rsid w:val="009B4433"/>
    <w:rsid w:val="009E17A5"/>
    <w:rsid w:val="009E75EA"/>
    <w:rsid w:val="009F5095"/>
    <w:rsid w:val="00A21663"/>
    <w:rsid w:val="00A302A2"/>
    <w:rsid w:val="00A31D5C"/>
    <w:rsid w:val="00A35A33"/>
    <w:rsid w:val="00A50F53"/>
    <w:rsid w:val="00A70744"/>
    <w:rsid w:val="00A73084"/>
    <w:rsid w:val="00A767FA"/>
    <w:rsid w:val="00AA70E5"/>
    <w:rsid w:val="00AC53D4"/>
    <w:rsid w:val="00AD2199"/>
    <w:rsid w:val="00AD6356"/>
    <w:rsid w:val="00B017C9"/>
    <w:rsid w:val="00B22E59"/>
    <w:rsid w:val="00B34E36"/>
    <w:rsid w:val="00B43C4D"/>
    <w:rsid w:val="00B51437"/>
    <w:rsid w:val="00B628F3"/>
    <w:rsid w:val="00B9162A"/>
    <w:rsid w:val="00B937C5"/>
    <w:rsid w:val="00BB1408"/>
    <w:rsid w:val="00BB1DF3"/>
    <w:rsid w:val="00BC3867"/>
    <w:rsid w:val="00BD2245"/>
    <w:rsid w:val="00C059E8"/>
    <w:rsid w:val="00C212BC"/>
    <w:rsid w:val="00C23B52"/>
    <w:rsid w:val="00C427F5"/>
    <w:rsid w:val="00C51C7C"/>
    <w:rsid w:val="00C5287A"/>
    <w:rsid w:val="00C52B42"/>
    <w:rsid w:val="00C537A5"/>
    <w:rsid w:val="00C7050F"/>
    <w:rsid w:val="00C73329"/>
    <w:rsid w:val="00C762D8"/>
    <w:rsid w:val="00C775D6"/>
    <w:rsid w:val="00CA1E17"/>
    <w:rsid w:val="00CB19A8"/>
    <w:rsid w:val="00D24CCC"/>
    <w:rsid w:val="00D85348"/>
    <w:rsid w:val="00D87032"/>
    <w:rsid w:val="00D9370C"/>
    <w:rsid w:val="00D95AFD"/>
    <w:rsid w:val="00DA17B3"/>
    <w:rsid w:val="00DA1CF0"/>
    <w:rsid w:val="00DE75B1"/>
    <w:rsid w:val="00DF1EC7"/>
    <w:rsid w:val="00E00D3A"/>
    <w:rsid w:val="00E06970"/>
    <w:rsid w:val="00E06ECB"/>
    <w:rsid w:val="00E3443A"/>
    <w:rsid w:val="00E4154B"/>
    <w:rsid w:val="00E613BB"/>
    <w:rsid w:val="00E802C5"/>
    <w:rsid w:val="00E849C9"/>
    <w:rsid w:val="00E87194"/>
    <w:rsid w:val="00ED0BED"/>
    <w:rsid w:val="00F079F3"/>
    <w:rsid w:val="00F15872"/>
    <w:rsid w:val="00F24919"/>
    <w:rsid w:val="00F25BD4"/>
    <w:rsid w:val="00F4204A"/>
    <w:rsid w:val="00F60435"/>
    <w:rsid w:val="00F6618A"/>
    <w:rsid w:val="00F73160"/>
    <w:rsid w:val="00F81FB0"/>
    <w:rsid w:val="00F85F2D"/>
    <w:rsid w:val="00F86767"/>
    <w:rsid w:val="00FC4199"/>
    <w:rsid w:val="00FE247B"/>
    <w:rsid w:val="00FF22B0"/>
    <w:rsid w:val="01311D17"/>
    <w:rsid w:val="02EC207C"/>
    <w:rsid w:val="03A82039"/>
    <w:rsid w:val="04FF212C"/>
    <w:rsid w:val="053718C6"/>
    <w:rsid w:val="06334642"/>
    <w:rsid w:val="06365A9A"/>
    <w:rsid w:val="06B55198"/>
    <w:rsid w:val="0730481F"/>
    <w:rsid w:val="088A0800"/>
    <w:rsid w:val="08B35707"/>
    <w:rsid w:val="09137F54"/>
    <w:rsid w:val="09487DE0"/>
    <w:rsid w:val="098552F6"/>
    <w:rsid w:val="09FE29B2"/>
    <w:rsid w:val="0A14667A"/>
    <w:rsid w:val="0AC66C76"/>
    <w:rsid w:val="0BAD06CD"/>
    <w:rsid w:val="0BAE21B6"/>
    <w:rsid w:val="0C087B18"/>
    <w:rsid w:val="0C210BDA"/>
    <w:rsid w:val="0C66428F"/>
    <w:rsid w:val="0C6F4347"/>
    <w:rsid w:val="0C994C14"/>
    <w:rsid w:val="0CA54557"/>
    <w:rsid w:val="0CAA5073"/>
    <w:rsid w:val="0CAA6E21"/>
    <w:rsid w:val="0D020A0B"/>
    <w:rsid w:val="0D613984"/>
    <w:rsid w:val="0D643474"/>
    <w:rsid w:val="0D6671EC"/>
    <w:rsid w:val="0D696CDD"/>
    <w:rsid w:val="0E4D5612"/>
    <w:rsid w:val="0ECC4537"/>
    <w:rsid w:val="0F2F1860"/>
    <w:rsid w:val="0F8120BC"/>
    <w:rsid w:val="10B85DAE"/>
    <w:rsid w:val="10BE2E9B"/>
    <w:rsid w:val="11380EA0"/>
    <w:rsid w:val="123553DF"/>
    <w:rsid w:val="12617F82"/>
    <w:rsid w:val="12696E37"/>
    <w:rsid w:val="12912E05"/>
    <w:rsid w:val="12F901BB"/>
    <w:rsid w:val="13787857"/>
    <w:rsid w:val="13A45B04"/>
    <w:rsid w:val="13B54A2A"/>
    <w:rsid w:val="13D555E0"/>
    <w:rsid w:val="14DB04C0"/>
    <w:rsid w:val="14E82BDD"/>
    <w:rsid w:val="16491459"/>
    <w:rsid w:val="165B32C0"/>
    <w:rsid w:val="172B6DB1"/>
    <w:rsid w:val="17B44FF8"/>
    <w:rsid w:val="17F81389"/>
    <w:rsid w:val="195048E3"/>
    <w:rsid w:val="1A7B2BF2"/>
    <w:rsid w:val="1AA43CB9"/>
    <w:rsid w:val="1BDB2B53"/>
    <w:rsid w:val="1C4C57FF"/>
    <w:rsid w:val="1C84080D"/>
    <w:rsid w:val="1D1717E7"/>
    <w:rsid w:val="1D3544E5"/>
    <w:rsid w:val="1E312B23"/>
    <w:rsid w:val="1E6E4153"/>
    <w:rsid w:val="1E7A3914"/>
    <w:rsid w:val="1F1D16D5"/>
    <w:rsid w:val="1F3C1B5B"/>
    <w:rsid w:val="20B54929"/>
    <w:rsid w:val="20C47F6A"/>
    <w:rsid w:val="20E56222"/>
    <w:rsid w:val="211703FC"/>
    <w:rsid w:val="219B7C23"/>
    <w:rsid w:val="229C6846"/>
    <w:rsid w:val="22D622C7"/>
    <w:rsid w:val="234766F3"/>
    <w:rsid w:val="23476D20"/>
    <w:rsid w:val="23AA4598"/>
    <w:rsid w:val="23D762F6"/>
    <w:rsid w:val="246B5556"/>
    <w:rsid w:val="248331AA"/>
    <w:rsid w:val="24F44C86"/>
    <w:rsid w:val="251E2061"/>
    <w:rsid w:val="253D487F"/>
    <w:rsid w:val="25F413E1"/>
    <w:rsid w:val="260E3B25"/>
    <w:rsid w:val="26371221"/>
    <w:rsid w:val="268B7808"/>
    <w:rsid w:val="27377065"/>
    <w:rsid w:val="27606603"/>
    <w:rsid w:val="281F026C"/>
    <w:rsid w:val="2834568E"/>
    <w:rsid w:val="286D4D53"/>
    <w:rsid w:val="28940C5A"/>
    <w:rsid w:val="295E3016"/>
    <w:rsid w:val="29B82726"/>
    <w:rsid w:val="29B9024C"/>
    <w:rsid w:val="29C81999"/>
    <w:rsid w:val="2A462D7C"/>
    <w:rsid w:val="2A4B17EC"/>
    <w:rsid w:val="2B093F9D"/>
    <w:rsid w:val="2B681F2A"/>
    <w:rsid w:val="2BAF1907"/>
    <w:rsid w:val="2BEC66B7"/>
    <w:rsid w:val="2BF81500"/>
    <w:rsid w:val="2CFC0B7C"/>
    <w:rsid w:val="2D197980"/>
    <w:rsid w:val="2DB41456"/>
    <w:rsid w:val="2DEA37CF"/>
    <w:rsid w:val="2E1B14D5"/>
    <w:rsid w:val="2E1D524D"/>
    <w:rsid w:val="2E4E3659"/>
    <w:rsid w:val="2E580034"/>
    <w:rsid w:val="2E6E5AA9"/>
    <w:rsid w:val="2F48454C"/>
    <w:rsid w:val="2F950E14"/>
    <w:rsid w:val="30662EDC"/>
    <w:rsid w:val="307F5D4C"/>
    <w:rsid w:val="30AD5C57"/>
    <w:rsid w:val="30B55C11"/>
    <w:rsid w:val="31210BB1"/>
    <w:rsid w:val="317C228B"/>
    <w:rsid w:val="31D43E75"/>
    <w:rsid w:val="321B32F4"/>
    <w:rsid w:val="32310D3D"/>
    <w:rsid w:val="346D235F"/>
    <w:rsid w:val="34931DC5"/>
    <w:rsid w:val="34AF2977"/>
    <w:rsid w:val="35561863"/>
    <w:rsid w:val="35EA17DC"/>
    <w:rsid w:val="36413AA3"/>
    <w:rsid w:val="36714D18"/>
    <w:rsid w:val="373D426B"/>
    <w:rsid w:val="38455ACD"/>
    <w:rsid w:val="39BD1693"/>
    <w:rsid w:val="3A3477EB"/>
    <w:rsid w:val="3AFD7AEB"/>
    <w:rsid w:val="3B393A1B"/>
    <w:rsid w:val="3B7364AD"/>
    <w:rsid w:val="3C687FDC"/>
    <w:rsid w:val="3CA1704A"/>
    <w:rsid w:val="3CC05722"/>
    <w:rsid w:val="3D7F650C"/>
    <w:rsid w:val="3ED417B1"/>
    <w:rsid w:val="3F6A5E19"/>
    <w:rsid w:val="3F9F1F66"/>
    <w:rsid w:val="3FA72BC9"/>
    <w:rsid w:val="401527ED"/>
    <w:rsid w:val="4024246B"/>
    <w:rsid w:val="40863D9E"/>
    <w:rsid w:val="40D857AA"/>
    <w:rsid w:val="41CA2B9F"/>
    <w:rsid w:val="424010B3"/>
    <w:rsid w:val="430D368B"/>
    <w:rsid w:val="432F53AF"/>
    <w:rsid w:val="45C75D73"/>
    <w:rsid w:val="460436F4"/>
    <w:rsid w:val="4654337F"/>
    <w:rsid w:val="46D83FB0"/>
    <w:rsid w:val="479C322F"/>
    <w:rsid w:val="47B95B8F"/>
    <w:rsid w:val="4A800938"/>
    <w:rsid w:val="4BA601D9"/>
    <w:rsid w:val="4BBA0128"/>
    <w:rsid w:val="4C5E6D05"/>
    <w:rsid w:val="4CF10FB9"/>
    <w:rsid w:val="4D6E2F78"/>
    <w:rsid w:val="4D9E15ED"/>
    <w:rsid w:val="4E0233E8"/>
    <w:rsid w:val="4E2B70BB"/>
    <w:rsid w:val="4EAF3ED8"/>
    <w:rsid w:val="4EC650FF"/>
    <w:rsid w:val="4F135B85"/>
    <w:rsid w:val="4F3B3A85"/>
    <w:rsid w:val="4F84577F"/>
    <w:rsid w:val="50167F8C"/>
    <w:rsid w:val="5095081C"/>
    <w:rsid w:val="50AA4F77"/>
    <w:rsid w:val="50CC248F"/>
    <w:rsid w:val="515A41E2"/>
    <w:rsid w:val="518438CA"/>
    <w:rsid w:val="51874608"/>
    <w:rsid w:val="5237092F"/>
    <w:rsid w:val="52D27B05"/>
    <w:rsid w:val="5371731E"/>
    <w:rsid w:val="538075E6"/>
    <w:rsid w:val="54BF40B9"/>
    <w:rsid w:val="551C150B"/>
    <w:rsid w:val="576D604E"/>
    <w:rsid w:val="57F65235"/>
    <w:rsid w:val="580723F2"/>
    <w:rsid w:val="584B2834"/>
    <w:rsid w:val="58533496"/>
    <w:rsid w:val="58C85C32"/>
    <w:rsid w:val="58D00F8B"/>
    <w:rsid w:val="597933D0"/>
    <w:rsid w:val="59B937CD"/>
    <w:rsid w:val="5A17517F"/>
    <w:rsid w:val="5AE20B01"/>
    <w:rsid w:val="5AF02B4E"/>
    <w:rsid w:val="5BD82630"/>
    <w:rsid w:val="5C5B6DBD"/>
    <w:rsid w:val="5CD66444"/>
    <w:rsid w:val="5D382ECB"/>
    <w:rsid w:val="5D852344"/>
    <w:rsid w:val="5DA61A44"/>
    <w:rsid w:val="5E5B7AAE"/>
    <w:rsid w:val="5E820631"/>
    <w:rsid w:val="5F9E149B"/>
    <w:rsid w:val="5FA96026"/>
    <w:rsid w:val="5FAF18FA"/>
    <w:rsid w:val="60885CA7"/>
    <w:rsid w:val="61636764"/>
    <w:rsid w:val="61BA27D8"/>
    <w:rsid w:val="61FE622B"/>
    <w:rsid w:val="622D2FAA"/>
    <w:rsid w:val="627E3393"/>
    <w:rsid w:val="63B15515"/>
    <w:rsid w:val="644D2E8C"/>
    <w:rsid w:val="65006754"/>
    <w:rsid w:val="650F7CFD"/>
    <w:rsid w:val="664E34EF"/>
    <w:rsid w:val="676905E0"/>
    <w:rsid w:val="68376930"/>
    <w:rsid w:val="684A6664"/>
    <w:rsid w:val="68E048D2"/>
    <w:rsid w:val="69140A20"/>
    <w:rsid w:val="696F5C56"/>
    <w:rsid w:val="69BB0E9B"/>
    <w:rsid w:val="69F12B0F"/>
    <w:rsid w:val="6A8100B6"/>
    <w:rsid w:val="6AFB6BAE"/>
    <w:rsid w:val="6AFE54E3"/>
    <w:rsid w:val="6B32518D"/>
    <w:rsid w:val="6B464E88"/>
    <w:rsid w:val="6B67350B"/>
    <w:rsid w:val="6BB67B6C"/>
    <w:rsid w:val="6BBB1626"/>
    <w:rsid w:val="6D4A0EB4"/>
    <w:rsid w:val="6DB36A59"/>
    <w:rsid w:val="6DE44E65"/>
    <w:rsid w:val="6DEF229A"/>
    <w:rsid w:val="6E396833"/>
    <w:rsid w:val="6EC66318"/>
    <w:rsid w:val="6F526B52"/>
    <w:rsid w:val="6F5A4CB2"/>
    <w:rsid w:val="704A2F79"/>
    <w:rsid w:val="70C745CA"/>
    <w:rsid w:val="70F3797F"/>
    <w:rsid w:val="70FF5B11"/>
    <w:rsid w:val="718F6E95"/>
    <w:rsid w:val="71CF3736"/>
    <w:rsid w:val="71FD4747"/>
    <w:rsid w:val="720068EF"/>
    <w:rsid w:val="72031631"/>
    <w:rsid w:val="720E0702"/>
    <w:rsid w:val="725A3947"/>
    <w:rsid w:val="72A921D9"/>
    <w:rsid w:val="72B03567"/>
    <w:rsid w:val="745B1903"/>
    <w:rsid w:val="750202C6"/>
    <w:rsid w:val="751002ED"/>
    <w:rsid w:val="75466691"/>
    <w:rsid w:val="754E52B9"/>
    <w:rsid w:val="76162F84"/>
    <w:rsid w:val="765E32DA"/>
    <w:rsid w:val="76A5715B"/>
    <w:rsid w:val="76EF6628"/>
    <w:rsid w:val="772C162A"/>
    <w:rsid w:val="7731237B"/>
    <w:rsid w:val="7871055B"/>
    <w:rsid w:val="78DB74DF"/>
    <w:rsid w:val="78EE46B5"/>
    <w:rsid w:val="795135CA"/>
    <w:rsid w:val="79D42231"/>
    <w:rsid w:val="7A016D9E"/>
    <w:rsid w:val="7A6A04A0"/>
    <w:rsid w:val="7C7B2E38"/>
    <w:rsid w:val="7C9C2DF7"/>
    <w:rsid w:val="7CC65CF3"/>
    <w:rsid w:val="7CFD51CB"/>
    <w:rsid w:val="7D6B1F0C"/>
    <w:rsid w:val="7E7E6C0F"/>
    <w:rsid w:val="7E892F73"/>
    <w:rsid w:val="7EE30820"/>
    <w:rsid w:val="7FB03369"/>
    <w:rsid w:val="7FD13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pPr>
    <w:rPr>
      <w:sz w:val="24"/>
      <w:szCs w:val="20"/>
    </w:rPr>
  </w:style>
  <w:style w:type="paragraph" w:styleId="3">
    <w:name w:val="Document Map"/>
    <w:basedOn w:val="1"/>
    <w:autoRedefine/>
    <w:qFormat/>
    <w:uiPriority w:val="0"/>
    <w:pPr>
      <w:shd w:val="clear" w:color="auto" w:fill="000080"/>
    </w:pPr>
  </w:style>
  <w:style w:type="paragraph" w:styleId="4">
    <w:name w:val="annotation text"/>
    <w:basedOn w:val="1"/>
    <w:autoRedefine/>
    <w:qFormat/>
    <w:uiPriority w:val="0"/>
    <w:pPr>
      <w:jc w:val="left"/>
    </w:pPr>
  </w:style>
  <w:style w:type="paragraph" w:styleId="5">
    <w:name w:val="Body Text"/>
    <w:basedOn w:val="1"/>
    <w:autoRedefine/>
    <w:qFormat/>
    <w:uiPriority w:val="0"/>
    <w:pPr>
      <w:adjustRightInd w:val="0"/>
      <w:spacing w:line="312" w:lineRule="atLeast"/>
      <w:jc w:val="left"/>
      <w:textAlignment w:val="baseline"/>
    </w:pPr>
    <w:rPr>
      <w:rFonts w:ascii="Arial" w:hAnsi="Arial" w:eastAsia="宋体繁体"/>
      <w:kern w:val="0"/>
      <w:sz w:val="15"/>
      <w:szCs w:val="20"/>
    </w:rPr>
  </w:style>
  <w:style w:type="paragraph" w:styleId="6">
    <w:name w:val="Balloon Text"/>
    <w:basedOn w:val="1"/>
    <w:autoRedefine/>
    <w:qFormat/>
    <w:uiPriority w:val="0"/>
    <w:rPr>
      <w:sz w:val="18"/>
      <w:szCs w:val="18"/>
    </w:r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0">
    <w:name w:val="annotation subject"/>
    <w:basedOn w:val="4"/>
    <w:next w:val="4"/>
    <w:autoRedefine/>
    <w:qFormat/>
    <w:uiPriority w:val="0"/>
    <w:rPr>
      <w:b/>
      <w:bCs/>
    </w:rPr>
  </w:style>
  <w:style w:type="character" w:styleId="13">
    <w:name w:val="page number"/>
    <w:basedOn w:val="12"/>
    <w:autoRedefine/>
    <w:qFormat/>
    <w:uiPriority w:val="0"/>
  </w:style>
  <w:style w:type="character" w:styleId="14">
    <w:name w:val="annotation reference"/>
    <w:autoRedefine/>
    <w:qFormat/>
    <w:uiPriority w:val="0"/>
    <w:rPr>
      <w:sz w:val="21"/>
      <w:szCs w:val="21"/>
    </w:rPr>
  </w:style>
  <w:style w:type="character" w:customStyle="1" w:styleId="15">
    <w:name w:val="正文 + Arial Char Char"/>
    <w:link w:val="16"/>
    <w:autoRedefine/>
    <w:qFormat/>
    <w:uiPriority w:val="0"/>
    <w:rPr>
      <w:rFonts w:ascii="Arial" w:eastAsia="宋体" w:cs="Arial"/>
      <w:kern w:val="2"/>
      <w:sz w:val="21"/>
      <w:szCs w:val="24"/>
      <w:lang w:val="en-US" w:eastAsia="zh-CN" w:bidi="ar-SA"/>
    </w:rPr>
  </w:style>
  <w:style w:type="paragraph" w:customStyle="1" w:styleId="16">
    <w:name w:val="正文 + Arial"/>
    <w:basedOn w:val="1"/>
    <w:link w:val="15"/>
    <w:autoRedefine/>
    <w:qFormat/>
    <w:uiPriority w:val="0"/>
    <w:pPr>
      <w:spacing w:after="156" w:afterLines="50" w:line="360" w:lineRule="auto"/>
      <w:ind w:firstLine="420" w:firstLineChars="200"/>
    </w:pPr>
    <w:rPr>
      <w:rFonts w:ascii="Arial" w:cs="Arial"/>
    </w:rPr>
  </w:style>
  <w:style w:type="paragraph" w:customStyle="1" w:styleId="17">
    <w:name w:val="Char2"/>
    <w:basedOn w:val="1"/>
    <w:autoRedefine/>
    <w:qFormat/>
    <w:uiPriority w:val="0"/>
    <w:pPr>
      <w:tabs>
        <w:tab w:val="left" w:pos="4665"/>
        <w:tab w:val="left" w:pos="8970"/>
      </w:tabs>
      <w:ind w:firstLine="400"/>
    </w:pPr>
    <w:rPr>
      <w:rFonts w:ascii="Tahoma" w:hAnsi="Tahoma"/>
      <w:sz w:val="24"/>
      <w:szCs w:val="20"/>
    </w:rPr>
  </w:style>
  <w:style w:type="paragraph" w:customStyle="1" w:styleId="18">
    <w:name w:val="Char"/>
    <w:basedOn w:val="1"/>
    <w:autoRedefine/>
    <w:qFormat/>
    <w:uiPriority w:val="0"/>
  </w:style>
  <w:style w:type="paragraph" w:customStyle="1" w:styleId="19">
    <w:name w:val="_Style 9"/>
    <w:basedOn w:val="1"/>
    <w:autoRedefine/>
    <w:qFormat/>
    <w:uiPriority w:val="0"/>
  </w:style>
  <w:style w:type="paragraph" w:customStyle="1" w:styleId="20">
    <w:name w:val="1 Char"/>
    <w:basedOn w:val="1"/>
    <w:autoRedefine/>
    <w:qFormat/>
    <w:uiPriority w:val="0"/>
  </w:style>
  <w:style w:type="paragraph" w:customStyle="1" w:styleId="2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Revision"/>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23">
    <w:name w:val="temporaryspan"/>
    <w:basedOn w:val="12"/>
    <w:autoRedefine/>
    <w:qFormat/>
    <w:uiPriority w:val="0"/>
  </w:style>
  <w:style w:type="character" w:customStyle="1" w:styleId="24">
    <w:name w:val="marchkey"/>
    <w:basedOn w:val="12"/>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冠昊生物</Company>
  <Pages>2</Pages>
  <Words>1048</Words>
  <Characters>1122</Characters>
  <Lines>17</Lines>
  <Paragraphs>4</Paragraphs>
  <TotalTime>4</TotalTime>
  <ScaleCrop>false</ScaleCrop>
  <LinksUpToDate>false</LinksUpToDate>
  <CharactersWithSpaces>1146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2014-05-23T12:32:00Z</dcterms:created>
  <dc:creator>Grandhope Biotech</dc:creator>
  <cp:keywords>300238</cp:keywords>
  <cp:lastModifiedBy>李群</cp:lastModifiedBy>
  <cp:lastPrinted>2013-04-17T01:57:00Z</cp:lastPrinted>
  <dcterms:modified xsi:type="dcterms:W3CDTF">2025-06-23T05:33:08Z</dcterms:modified>
  <dc:title>广东冠昊生物科技股份有限公司</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F5C3E0D8DE9344D98B7720F1B9172215_13</vt:lpwstr>
  </property>
  <property fmtid="{D5CDD505-2E9C-101B-9397-08002B2CF9AE}" pid="4" name="KSOTemplateDocerSaveRecord">
    <vt:lpwstr>eyJoZGlkIjoiYWRlOTk1ZDM4MjkzZjgxMjZiN2M3ZjNmNDQ5NGIzZGYiLCJ1c2VySWQiOiIzNDI3ODI2OTEifQ==</vt:lpwstr>
  </property>
</Properties>
</file>