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0306A7DC">
      <w:pPr>
        <w:tabs>
          <w:tab w:val="left" w:pos="195"/>
        </w:tabs>
        <w:spacing w:line="500" w:lineRule="exact"/>
        <w:jc w:val="center"/>
        <w:rPr>
          <w:rFonts w:hint="eastAsia" w:eastAsia="宋体"/>
          <w:bCs/>
          <w:sz w:val="24"/>
          <w:highlight w:val="yellow"/>
          <w:lang w:val="en-US" w:eastAsia="zh-CN"/>
        </w:rPr>
      </w:pPr>
      <w:bookmarkStart w:id="0" w:name="_Hlk282766308"/>
      <w:r>
        <w:rPr>
          <w:kern w:val="0"/>
          <w:sz w:val="24"/>
        </w:rPr>
        <w:t>证券代码：300238         证券简称：冠昊生物         公告编号：20</w:t>
      </w:r>
      <w:r>
        <w:rPr>
          <w:rFonts w:hint="eastAsia"/>
          <w:kern w:val="0"/>
          <w:sz w:val="24"/>
        </w:rPr>
        <w:t>25</w:t>
      </w:r>
      <w:r>
        <w:rPr>
          <w:kern w:val="0"/>
          <w:sz w:val="24"/>
        </w:rPr>
        <w:t>-</w:t>
      </w:r>
      <w:r>
        <w:rPr>
          <w:rFonts w:hint="eastAsia"/>
          <w:kern w:val="0"/>
          <w:sz w:val="24"/>
        </w:rPr>
        <w:t>04</w:t>
      </w:r>
      <w:r>
        <w:rPr>
          <w:rFonts w:hint="eastAsia"/>
          <w:kern w:val="0"/>
          <w:sz w:val="24"/>
          <w:lang w:val="en-US" w:eastAsia="zh-CN"/>
        </w:rPr>
        <w:t>6</w:t>
      </w:r>
    </w:p>
    <w:p w14:paraId="4B8F4383">
      <w:pPr>
        <w:tabs>
          <w:tab w:val="left" w:pos="195"/>
        </w:tabs>
        <w:spacing w:before="468" w:beforeLines="150" w:line="500" w:lineRule="exact"/>
        <w:jc w:val="center"/>
        <w:rPr>
          <w:rFonts w:hint="eastAsia" w:ascii="黑体" w:hAnsi="黑体" w:eastAsia="黑体"/>
          <w:bCs/>
          <w:sz w:val="30"/>
          <w:szCs w:val="30"/>
        </w:rPr>
      </w:pPr>
      <w:r>
        <w:rPr>
          <w:rFonts w:hint="eastAsia" w:ascii="黑体" w:hAnsi="黑体" w:eastAsia="黑体"/>
          <w:bCs/>
          <w:sz w:val="30"/>
          <w:szCs w:val="30"/>
        </w:rPr>
        <w:t>冠昊生物科技股份有限公司</w:t>
      </w:r>
      <w:bookmarkEnd w:id="0"/>
    </w:p>
    <w:p w14:paraId="4BA4E5FE">
      <w:pPr>
        <w:tabs>
          <w:tab w:val="left" w:pos="195"/>
        </w:tabs>
        <w:spacing w:before="156" w:beforeLines="50" w:after="468" w:afterLines="150" w:line="500" w:lineRule="exact"/>
        <w:ind w:left="192" w:hanging="192" w:hangingChars="64"/>
        <w:jc w:val="center"/>
        <w:rPr>
          <w:rFonts w:hint="eastAsia" w:ascii="黑体" w:hAnsi="黑体" w:eastAsia="黑体"/>
          <w:bCs/>
          <w:sz w:val="30"/>
          <w:szCs w:val="30"/>
        </w:rPr>
      </w:pPr>
      <w:r>
        <w:rPr>
          <w:rFonts w:eastAsia="黑体"/>
          <w:bCs/>
          <w:sz w:val="30"/>
          <w:szCs w:val="30"/>
        </w:rPr>
        <w:t>202</w:t>
      </w:r>
      <w:r>
        <w:rPr>
          <w:rFonts w:hint="eastAsia" w:eastAsia="黑体"/>
          <w:bCs/>
          <w:sz w:val="30"/>
          <w:szCs w:val="30"/>
        </w:rPr>
        <w:t>5</w:t>
      </w:r>
      <w:r>
        <w:rPr>
          <w:rFonts w:hint="eastAsia" w:ascii="黑体" w:hAnsi="黑体" w:eastAsia="黑体"/>
          <w:bCs/>
          <w:sz w:val="30"/>
          <w:szCs w:val="30"/>
        </w:rPr>
        <w:t>年第二次临时股东大会决议公告</w:t>
      </w:r>
    </w:p>
    <w:tbl>
      <w:tblPr>
        <w:tblStyle w:val="8"/>
        <w:tblW w:w="846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0"/>
      </w:tblGrid>
      <w:tr w14:paraId="1B4CC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8460" w:type="dxa"/>
          </w:tcPr>
          <w:p w14:paraId="15C09123">
            <w:pPr>
              <w:autoSpaceDE w:val="0"/>
              <w:autoSpaceDN w:val="0"/>
              <w:adjustRightInd w:val="0"/>
              <w:spacing w:line="500" w:lineRule="exact"/>
              <w:ind w:firstLine="480" w:firstLineChars="20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本公司及董事会全体人员保证信息披露的内容真实、准确和完整，没有虚假记载、误导性陈述或者重大遗漏。</w:t>
            </w:r>
          </w:p>
        </w:tc>
      </w:tr>
    </w:tbl>
    <w:p w14:paraId="178B955D">
      <w:pPr>
        <w:autoSpaceDE w:val="0"/>
        <w:autoSpaceDN w:val="0"/>
        <w:adjustRightInd w:val="0"/>
        <w:spacing w:before="156" w:beforeLines="50" w:line="500" w:lineRule="exact"/>
        <w:ind w:firstLine="482" w:firstLineChars="200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特别提示：</w:t>
      </w:r>
    </w:p>
    <w:p w14:paraId="28883459">
      <w:pPr>
        <w:autoSpaceDE w:val="0"/>
        <w:autoSpaceDN w:val="0"/>
        <w:adjustRightInd w:val="0"/>
        <w:spacing w:line="500" w:lineRule="exact"/>
        <w:ind w:firstLine="480" w:firstLineChars="200"/>
        <w:rPr>
          <w:sz w:val="24"/>
        </w:rPr>
      </w:pPr>
      <w:r>
        <w:rPr>
          <w:sz w:val="24"/>
        </w:rPr>
        <w:t>1、本次股东大会</w:t>
      </w:r>
      <w:r>
        <w:rPr>
          <w:rFonts w:hint="eastAsia"/>
          <w:sz w:val="24"/>
        </w:rPr>
        <w:t>无</w:t>
      </w:r>
      <w:r>
        <w:rPr>
          <w:sz w:val="24"/>
        </w:rPr>
        <w:t>否决议案的情形</w:t>
      </w:r>
      <w:r>
        <w:rPr>
          <w:rFonts w:hint="eastAsia"/>
          <w:sz w:val="24"/>
        </w:rPr>
        <w:t>；</w:t>
      </w:r>
    </w:p>
    <w:p w14:paraId="1E7583B2">
      <w:pPr>
        <w:autoSpaceDE w:val="0"/>
        <w:autoSpaceDN w:val="0"/>
        <w:adjustRightInd w:val="0"/>
        <w:spacing w:line="500" w:lineRule="exact"/>
        <w:ind w:firstLine="480" w:firstLineChars="200"/>
        <w:rPr>
          <w:rFonts w:hint="eastAsia" w:ascii="宋体" w:hAnsi="宋体"/>
          <w:sz w:val="24"/>
        </w:rPr>
      </w:pPr>
      <w:r>
        <w:rPr>
          <w:sz w:val="24"/>
        </w:rPr>
        <w:t>2、</w:t>
      </w:r>
      <w:r>
        <w:rPr>
          <w:rFonts w:hint="eastAsia" w:ascii="宋体" w:hAnsi="宋体"/>
          <w:sz w:val="24"/>
        </w:rPr>
        <w:t>本次股东大会不涉及变更以往股东大会已通过的决议；</w:t>
      </w:r>
    </w:p>
    <w:p w14:paraId="4CAEC8CC">
      <w:pPr>
        <w:autoSpaceDE w:val="0"/>
        <w:autoSpaceDN w:val="0"/>
        <w:adjustRightInd w:val="0"/>
        <w:spacing w:line="500" w:lineRule="exact"/>
        <w:ind w:firstLine="480" w:firstLineChars="200"/>
        <w:rPr>
          <w:rFonts w:hint="eastAsia" w:ascii="宋体" w:hAnsi="宋体"/>
          <w:sz w:val="24"/>
        </w:rPr>
      </w:pPr>
      <w:r>
        <w:rPr>
          <w:sz w:val="24"/>
        </w:rPr>
        <w:t>3</w:t>
      </w:r>
      <w:r>
        <w:rPr>
          <w:rFonts w:hint="eastAsia" w:ascii="宋体" w:hAnsi="宋体"/>
          <w:sz w:val="24"/>
        </w:rPr>
        <w:t>、本次股东大会以现场投票和网络投票相结合的方式召开。</w:t>
      </w:r>
    </w:p>
    <w:p w14:paraId="218C1B80">
      <w:pPr>
        <w:autoSpaceDE w:val="0"/>
        <w:autoSpaceDN w:val="0"/>
        <w:adjustRightInd w:val="0"/>
        <w:spacing w:before="156" w:beforeLines="50" w:line="500" w:lineRule="exact"/>
        <w:ind w:firstLine="482" w:firstLineChars="200"/>
        <w:rPr>
          <w:rFonts w:hint="eastAsia"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一、会议召开和出席情况</w:t>
      </w:r>
    </w:p>
    <w:p w14:paraId="1D965E6E">
      <w:pPr>
        <w:autoSpaceDE w:val="0"/>
        <w:autoSpaceDN w:val="0"/>
        <w:adjustRightInd w:val="0"/>
        <w:spacing w:line="500" w:lineRule="exact"/>
        <w:ind w:firstLine="480" w:firstLineChars="200"/>
        <w:rPr>
          <w:rFonts w:hint="eastAsia" w:ascii="宋体" w:hAnsi="宋体"/>
          <w:color w:val="000000"/>
          <w:sz w:val="24"/>
        </w:rPr>
      </w:pPr>
      <w:r>
        <w:rPr>
          <w:sz w:val="24"/>
        </w:rPr>
        <w:t>1</w:t>
      </w:r>
      <w:r>
        <w:rPr>
          <w:rFonts w:hint="eastAsia" w:ascii="宋体" w:hAnsi="宋体"/>
          <w:sz w:val="24"/>
        </w:rPr>
        <w:t>、冠昊生物科技股份有限公司（以下简称“公司”）</w:t>
      </w:r>
      <w:r>
        <w:rPr>
          <w:color w:val="000000"/>
          <w:sz w:val="24"/>
        </w:rPr>
        <w:t>分别于202</w:t>
      </w:r>
      <w:r>
        <w:rPr>
          <w:rFonts w:hint="eastAsia"/>
          <w:color w:val="000000"/>
          <w:sz w:val="24"/>
        </w:rPr>
        <w:t>5</w:t>
      </w:r>
      <w:r>
        <w:rPr>
          <w:color w:val="000000"/>
          <w:sz w:val="24"/>
        </w:rPr>
        <w:t>年</w:t>
      </w:r>
      <w:r>
        <w:rPr>
          <w:rFonts w:hint="eastAsia"/>
          <w:color w:val="000000"/>
          <w:sz w:val="24"/>
        </w:rPr>
        <w:t>6</w:t>
      </w:r>
      <w:r>
        <w:rPr>
          <w:color w:val="000000"/>
          <w:sz w:val="24"/>
        </w:rPr>
        <w:t>月</w:t>
      </w:r>
      <w:r>
        <w:rPr>
          <w:rFonts w:hint="eastAsia"/>
          <w:color w:val="000000"/>
          <w:sz w:val="24"/>
        </w:rPr>
        <w:t>7</w:t>
      </w:r>
      <w:r>
        <w:rPr>
          <w:color w:val="000000"/>
          <w:sz w:val="24"/>
        </w:rPr>
        <w:t>日</w:t>
      </w:r>
      <w:r>
        <w:rPr>
          <w:rFonts w:hint="eastAsia"/>
          <w:color w:val="000000"/>
          <w:sz w:val="24"/>
        </w:rPr>
        <w:t>发出</w:t>
      </w:r>
      <w:r>
        <w:rPr>
          <w:color w:val="000000"/>
          <w:sz w:val="24"/>
        </w:rPr>
        <w:t>《关于召开</w:t>
      </w:r>
      <w:r>
        <w:rPr>
          <w:rFonts w:hint="eastAsia"/>
          <w:color w:val="000000"/>
          <w:sz w:val="24"/>
        </w:rPr>
        <w:t>2025年第二次临时股东大会</w:t>
      </w:r>
      <w:r>
        <w:rPr>
          <w:color w:val="000000"/>
          <w:sz w:val="24"/>
        </w:rPr>
        <w:t>的通知》</w:t>
      </w:r>
      <w:r>
        <w:rPr>
          <w:rFonts w:hint="eastAsia"/>
          <w:color w:val="000000"/>
          <w:sz w:val="24"/>
        </w:rPr>
        <w:t>、2025年6月1</w:t>
      </w:r>
      <w:r>
        <w:rPr>
          <w:rFonts w:hint="eastAsia"/>
          <w:color w:val="000000"/>
          <w:sz w:val="24"/>
          <w:lang w:val="en-US" w:eastAsia="zh-CN"/>
        </w:rPr>
        <w:t>9</w:t>
      </w:r>
      <w:r>
        <w:rPr>
          <w:rFonts w:hint="eastAsia"/>
          <w:color w:val="000000"/>
          <w:sz w:val="24"/>
        </w:rPr>
        <w:t>日发出</w:t>
      </w:r>
      <w:r>
        <w:rPr>
          <w:color w:val="000000"/>
          <w:sz w:val="24"/>
        </w:rPr>
        <w:t>《关于召开</w:t>
      </w:r>
      <w:r>
        <w:rPr>
          <w:rFonts w:hint="eastAsia"/>
          <w:color w:val="000000"/>
          <w:sz w:val="24"/>
        </w:rPr>
        <w:t>2025年第二次临时股东大会的</w:t>
      </w:r>
      <w:r>
        <w:rPr>
          <w:color w:val="000000"/>
          <w:sz w:val="24"/>
        </w:rPr>
        <w:t>提示性公告》（详见中国证监会指定的创业板信息披露网站</w:t>
      </w:r>
      <w:r>
        <w:rPr>
          <w:rFonts w:hint="eastAsia"/>
          <w:color w:val="000000"/>
          <w:sz w:val="24"/>
        </w:rPr>
        <w:t>巨潮资讯网</w:t>
      </w:r>
      <w:r>
        <w:rPr>
          <w:rFonts w:hint="eastAsia" w:ascii="宋体" w:hAnsi="宋体"/>
          <w:color w:val="000000"/>
          <w:sz w:val="24"/>
        </w:rPr>
        <w:t>（</w:t>
      </w:r>
      <w:r>
        <w:fldChar w:fldCharType="begin"/>
      </w:r>
      <w:r>
        <w:instrText xml:space="preserve"> HYPERLINK "http://www.cninfo.com.cn" </w:instrText>
      </w:r>
      <w:r>
        <w:fldChar w:fldCharType="separate"/>
      </w:r>
      <w:r>
        <w:rPr>
          <w:rStyle w:val="11"/>
          <w:sz w:val="24"/>
        </w:rPr>
        <w:t>http://www.cninfo.com.cn</w:t>
      </w:r>
      <w:r>
        <w:rPr>
          <w:rStyle w:val="11"/>
          <w:sz w:val="24"/>
        </w:rPr>
        <w:fldChar w:fldCharType="end"/>
      </w:r>
      <w:r>
        <w:rPr>
          <w:color w:val="000000"/>
          <w:sz w:val="24"/>
        </w:rPr>
        <w:t>）</w:t>
      </w:r>
      <w:r>
        <w:rPr>
          <w:rFonts w:hint="eastAsia"/>
          <w:color w:val="000000"/>
          <w:sz w:val="24"/>
        </w:rPr>
        <w:t>）</w:t>
      </w:r>
      <w:r>
        <w:rPr>
          <w:rFonts w:hint="eastAsia" w:ascii="宋体" w:hAnsi="宋体"/>
          <w:color w:val="000000"/>
          <w:sz w:val="24"/>
        </w:rPr>
        <w:t>。</w:t>
      </w:r>
    </w:p>
    <w:p w14:paraId="257BA54E">
      <w:pPr>
        <w:autoSpaceDE w:val="0"/>
        <w:autoSpaceDN w:val="0"/>
        <w:adjustRightInd w:val="0"/>
        <w:spacing w:line="500" w:lineRule="exact"/>
        <w:ind w:firstLine="480" w:firstLineChars="200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/>
          <w:color w:val="000000"/>
          <w:sz w:val="24"/>
        </w:rPr>
        <w:t>（</w:t>
      </w:r>
      <w:r>
        <w:rPr>
          <w:color w:val="000000"/>
          <w:sz w:val="24"/>
        </w:rPr>
        <w:t>1</w:t>
      </w:r>
      <w:r>
        <w:rPr>
          <w:rFonts w:hint="eastAsia" w:ascii="宋体" w:hAnsi="宋体"/>
          <w:color w:val="000000"/>
          <w:sz w:val="24"/>
        </w:rPr>
        <w:t>）</w:t>
      </w:r>
      <w:r>
        <w:rPr>
          <w:rFonts w:hint="eastAsia" w:ascii="宋体" w:hAnsi="宋体" w:cs="宋体"/>
          <w:kern w:val="0"/>
          <w:sz w:val="24"/>
        </w:rPr>
        <w:t>会议召开时间：</w:t>
      </w:r>
      <w:r>
        <w:rPr>
          <w:color w:val="000000"/>
          <w:sz w:val="24"/>
        </w:rPr>
        <w:t>20</w:t>
      </w:r>
      <w:r>
        <w:rPr>
          <w:rFonts w:hint="eastAsia"/>
          <w:color w:val="000000"/>
          <w:sz w:val="24"/>
        </w:rPr>
        <w:t>25</w:t>
      </w:r>
      <w:r>
        <w:rPr>
          <w:color w:val="000000"/>
          <w:sz w:val="24"/>
        </w:rPr>
        <w:t>年</w:t>
      </w:r>
      <w:r>
        <w:rPr>
          <w:rFonts w:hint="eastAsia"/>
          <w:color w:val="000000"/>
          <w:sz w:val="24"/>
        </w:rPr>
        <w:t>6</w:t>
      </w:r>
      <w:r>
        <w:rPr>
          <w:color w:val="000000"/>
          <w:sz w:val="24"/>
        </w:rPr>
        <w:t>月</w:t>
      </w:r>
      <w:r>
        <w:rPr>
          <w:rFonts w:hint="eastAsia"/>
          <w:color w:val="000000"/>
          <w:sz w:val="24"/>
        </w:rPr>
        <w:t>23</w:t>
      </w:r>
      <w:r>
        <w:rPr>
          <w:color w:val="000000"/>
          <w:sz w:val="24"/>
        </w:rPr>
        <w:t>日</w:t>
      </w:r>
      <w:r>
        <w:rPr>
          <w:rFonts w:hint="eastAsia"/>
          <w:sz w:val="24"/>
        </w:rPr>
        <w:t>下午15:00。</w:t>
      </w:r>
    </w:p>
    <w:p w14:paraId="52B25E72">
      <w:pPr>
        <w:autoSpaceDE w:val="0"/>
        <w:autoSpaceDN w:val="0"/>
        <w:adjustRightInd w:val="0"/>
        <w:spacing w:line="500" w:lineRule="exact"/>
        <w:ind w:firstLine="480" w:firstLineChars="200"/>
        <w:rPr>
          <w:rFonts w:hint="eastAsia" w:ascii="宋体" w:hAnsi="宋体" w:cs="仿宋_GB2312"/>
          <w:kern w:val="0"/>
          <w:sz w:val="24"/>
        </w:rPr>
      </w:pPr>
      <w:r>
        <w:rPr>
          <w:rFonts w:hint="eastAsia" w:ascii="宋体" w:hAnsi="宋体"/>
          <w:color w:val="000000"/>
          <w:sz w:val="24"/>
        </w:rPr>
        <w:t>（</w:t>
      </w:r>
      <w:r>
        <w:rPr>
          <w:color w:val="000000"/>
          <w:sz w:val="24"/>
        </w:rPr>
        <w:t>2</w:t>
      </w:r>
      <w:r>
        <w:rPr>
          <w:rFonts w:hint="eastAsia" w:ascii="宋体" w:hAnsi="宋体"/>
          <w:color w:val="000000"/>
          <w:sz w:val="24"/>
        </w:rPr>
        <w:t>）</w:t>
      </w:r>
      <w:r>
        <w:rPr>
          <w:rFonts w:hint="eastAsia" w:ascii="宋体" w:hAnsi="宋体" w:cs="宋体"/>
          <w:kern w:val="0"/>
          <w:sz w:val="24"/>
        </w:rPr>
        <w:t>会议召开地点：</w:t>
      </w:r>
      <w:r>
        <w:rPr>
          <w:rFonts w:hint="eastAsia" w:ascii="宋体" w:hAnsi="宋体"/>
          <w:sz w:val="24"/>
        </w:rPr>
        <w:t>广州市黄埔区玉岩</w:t>
      </w:r>
      <w:r>
        <w:rPr>
          <w:sz w:val="24"/>
        </w:rPr>
        <w:t>路12号公司会议室</w:t>
      </w:r>
      <w:r>
        <w:rPr>
          <w:rFonts w:hint="eastAsia"/>
          <w:sz w:val="24"/>
        </w:rPr>
        <w:t>。</w:t>
      </w:r>
    </w:p>
    <w:p w14:paraId="7A5EC91E">
      <w:pPr>
        <w:autoSpaceDE w:val="0"/>
        <w:autoSpaceDN w:val="0"/>
        <w:adjustRightInd w:val="0"/>
        <w:spacing w:line="500" w:lineRule="exact"/>
        <w:ind w:firstLine="480" w:firstLineChars="20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（</w:t>
      </w:r>
      <w:r>
        <w:rPr>
          <w:color w:val="000000"/>
          <w:sz w:val="24"/>
        </w:rPr>
        <w:t>3</w:t>
      </w:r>
      <w:r>
        <w:rPr>
          <w:rFonts w:hint="eastAsia" w:ascii="宋体" w:hAnsi="宋体"/>
          <w:color w:val="000000"/>
          <w:sz w:val="24"/>
        </w:rPr>
        <w:t>）</w:t>
      </w:r>
      <w:r>
        <w:rPr>
          <w:rFonts w:hint="eastAsia" w:ascii="宋体" w:hAnsi="宋体" w:cs="宋体"/>
          <w:kern w:val="0"/>
          <w:sz w:val="24"/>
        </w:rPr>
        <w:t>会议召开方式：</w:t>
      </w:r>
      <w:r>
        <w:rPr>
          <w:rFonts w:hint="eastAsia" w:ascii="宋体" w:hAnsi="宋体"/>
          <w:color w:val="000000"/>
          <w:sz w:val="24"/>
        </w:rPr>
        <w:t>采取现场投票与网络投票相结合的方式。现场会议召开时间：</w:t>
      </w:r>
      <w:r>
        <w:rPr>
          <w:color w:val="000000"/>
          <w:sz w:val="24"/>
        </w:rPr>
        <w:t>20</w:t>
      </w:r>
      <w:r>
        <w:rPr>
          <w:rFonts w:hint="eastAsia"/>
          <w:color w:val="000000"/>
          <w:sz w:val="24"/>
        </w:rPr>
        <w:t>25</w:t>
      </w:r>
      <w:r>
        <w:rPr>
          <w:color w:val="000000"/>
          <w:sz w:val="24"/>
        </w:rPr>
        <w:t>年</w:t>
      </w:r>
      <w:r>
        <w:rPr>
          <w:rFonts w:hint="eastAsia"/>
          <w:color w:val="000000"/>
          <w:sz w:val="24"/>
        </w:rPr>
        <w:t>6</w:t>
      </w:r>
      <w:r>
        <w:rPr>
          <w:color w:val="000000"/>
          <w:sz w:val="24"/>
        </w:rPr>
        <w:t>月</w:t>
      </w:r>
      <w:r>
        <w:rPr>
          <w:rFonts w:hint="eastAsia"/>
          <w:color w:val="000000"/>
          <w:sz w:val="24"/>
        </w:rPr>
        <w:t>23</w:t>
      </w:r>
      <w:r>
        <w:rPr>
          <w:color w:val="000000"/>
          <w:sz w:val="24"/>
        </w:rPr>
        <w:t>日</w:t>
      </w:r>
      <w:r>
        <w:rPr>
          <w:rFonts w:hint="eastAsia"/>
          <w:sz w:val="24"/>
        </w:rPr>
        <w:t>下午15:00</w:t>
      </w:r>
      <w:r>
        <w:rPr>
          <w:color w:val="000000"/>
          <w:sz w:val="24"/>
        </w:rPr>
        <w:t>。网络投票时间：</w:t>
      </w:r>
      <w:r>
        <w:rPr>
          <w:rFonts w:hint="eastAsia"/>
          <w:sz w:val="24"/>
        </w:rPr>
        <w:t>通过深圳证券交易所交易系统进行网络投票的时间为：</w:t>
      </w:r>
      <w:r>
        <w:rPr>
          <w:rFonts w:hint="eastAsia"/>
          <w:color w:val="000000"/>
          <w:sz w:val="24"/>
        </w:rPr>
        <w:t>2025</w:t>
      </w:r>
      <w:r>
        <w:rPr>
          <w:color w:val="000000"/>
          <w:sz w:val="24"/>
        </w:rPr>
        <w:t>年</w:t>
      </w:r>
      <w:r>
        <w:rPr>
          <w:rFonts w:hint="eastAsia"/>
          <w:color w:val="000000"/>
          <w:sz w:val="24"/>
        </w:rPr>
        <w:t>6</w:t>
      </w:r>
      <w:r>
        <w:rPr>
          <w:color w:val="000000"/>
          <w:sz w:val="24"/>
        </w:rPr>
        <w:t>月</w:t>
      </w:r>
      <w:r>
        <w:rPr>
          <w:rFonts w:hint="eastAsia"/>
          <w:color w:val="000000"/>
          <w:sz w:val="24"/>
        </w:rPr>
        <w:t>23</w:t>
      </w:r>
      <w:r>
        <w:rPr>
          <w:color w:val="000000"/>
          <w:sz w:val="24"/>
        </w:rPr>
        <w:t>日</w:t>
      </w:r>
      <w:r>
        <w:rPr>
          <w:rFonts w:hint="eastAsia"/>
          <w:sz w:val="24"/>
        </w:rPr>
        <w:t>上午</w:t>
      </w:r>
      <w:r>
        <w:rPr>
          <w:sz w:val="24"/>
        </w:rPr>
        <w:t>9:15—9</w:t>
      </w:r>
      <w:r>
        <w:rPr>
          <w:rFonts w:hint="eastAsia"/>
          <w:sz w:val="24"/>
        </w:rPr>
        <w:t>:</w:t>
      </w:r>
      <w:r>
        <w:rPr>
          <w:sz w:val="24"/>
        </w:rPr>
        <w:t>25，9</w:t>
      </w:r>
      <w:r>
        <w:rPr>
          <w:rFonts w:hint="eastAsia"/>
          <w:sz w:val="24"/>
        </w:rPr>
        <w:t>:</w:t>
      </w:r>
      <w:r>
        <w:rPr>
          <w:sz w:val="24"/>
        </w:rPr>
        <w:t>30—11:30</w:t>
      </w:r>
      <w:r>
        <w:rPr>
          <w:rFonts w:ascii="宋体" w:hAnsi="宋体" w:cs="宋体"/>
          <w:sz w:val="24"/>
        </w:rPr>
        <w:t>和</w:t>
      </w:r>
      <w:r>
        <w:rPr>
          <w:rFonts w:hint="eastAsia" w:ascii="宋体" w:hAnsi="宋体" w:cs="宋体"/>
          <w:sz w:val="24"/>
        </w:rPr>
        <w:t>下午</w:t>
      </w:r>
      <w:r>
        <w:rPr>
          <w:sz w:val="24"/>
        </w:rPr>
        <w:t>13:00—15:00</w:t>
      </w:r>
      <w:r>
        <w:rPr>
          <w:rFonts w:hint="eastAsia"/>
          <w:sz w:val="24"/>
        </w:rPr>
        <w:t>；通过深圳证券交易所互联网投票系统进行投票的具体时间为：</w:t>
      </w:r>
      <w:r>
        <w:rPr>
          <w:rFonts w:hint="eastAsia"/>
          <w:color w:val="000000"/>
          <w:sz w:val="24"/>
        </w:rPr>
        <w:t>2025</w:t>
      </w:r>
      <w:r>
        <w:rPr>
          <w:color w:val="000000"/>
          <w:sz w:val="24"/>
        </w:rPr>
        <w:t>年</w:t>
      </w:r>
      <w:r>
        <w:rPr>
          <w:rFonts w:hint="eastAsia"/>
          <w:color w:val="000000"/>
          <w:sz w:val="24"/>
        </w:rPr>
        <w:t>6</w:t>
      </w:r>
      <w:r>
        <w:rPr>
          <w:color w:val="000000"/>
          <w:sz w:val="24"/>
        </w:rPr>
        <w:t>月</w:t>
      </w:r>
      <w:r>
        <w:rPr>
          <w:rFonts w:hint="eastAsia"/>
          <w:color w:val="000000"/>
          <w:sz w:val="24"/>
        </w:rPr>
        <w:t>23</w:t>
      </w:r>
      <w:r>
        <w:rPr>
          <w:color w:val="000000"/>
          <w:sz w:val="24"/>
        </w:rPr>
        <w:t>日</w:t>
      </w:r>
      <w:r>
        <w:rPr>
          <w:rFonts w:hint="eastAsia"/>
          <w:sz w:val="24"/>
        </w:rPr>
        <w:t>上午9:15至</w:t>
      </w:r>
      <w:r>
        <w:rPr>
          <w:rFonts w:hint="eastAsia"/>
          <w:color w:val="000000"/>
          <w:sz w:val="24"/>
        </w:rPr>
        <w:t>2025</w:t>
      </w:r>
      <w:r>
        <w:rPr>
          <w:color w:val="000000"/>
          <w:sz w:val="24"/>
        </w:rPr>
        <w:t>年</w:t>
      </w:r>
      <w:r>
        <w:rPr>
          <w:rFonts w:hint="eastAsia"/>
          <w:color w:val="000000"/>
          <w:sz w:val="24"/>
        </w:rPr>
        <w:t>6</w:t>
      </w:r>
      <w:r>
        <w:rPr>
          <w:color w:val="000000"/>
          <w:sz w:val="24"/>
        </w:rPr>
        <w:t>月</w:t>
      </w:r>
      <w:r>
        <w:rPr>
          <w:rFonts w:hint="eastAsia"/>
          <w:color w:val="000000"/>
          <w:sz w:val="24"/>
        </w:rPr>
        <w:t>23</w:t>
      </w:r>
      <w:r>
        <w:rPr>
          <w:color w:val="000000"/>
          <w:sz w:val="24"/>
        </w:rPr>
        <w:t>日</w:t>
      </w:r>
      <w:r>
        <w:rPr>
          <w:rFonts w:hint="eastAsia"/>
          <w:sz w:val="24"/>
        </w:rPr>
        <w:t>下午15:00期间的任意时间</w:t>
      </w:r>
      <w:r>
        <w:rPr>
          <w:rFonts w:hint="eastAsia"/>
          <w:color w:val="000000"/>
          <w:sz w:val="24"/>
        </w:rPr>
        <w:t>。</w:t>
      </w:r>
    </w:p>
    <w:p w14:paraId="52F99B77">
      <w:pPr>
        <w:autoSpaceDE w:val="0"/>
        <w:autoSpaceDN w:val="0"/>
        <w:adjustRightInd w:val="0"/>
        <w:spacing w:line="500" w:lineRule="exact"/>
        <w:ind w:firstLine="480" w:firstLineChars="200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/>
          <w:color w:val="000000"/>
          <w:sz w:val="24"/>
        </w:rPr>
        <w:t>（</w:t>
      </w:r>
      <w:r>
        <w:rPr>
          <w:color w:val="000000"/>
          <w:sz w:val="24"/>
        </w:rPr>
        <w:t>4</w:t>
      </w:r>
      <w:r>
        <w:rPr>
          <w:rFonts w:hint="eastAsia" w:ascii="宋体" w:hAnsi="宋体"/>
          <w:color w:val="000000"/>
          <w:sz w:val="24"/>
        </w:rPr>
        <w:t>）</w:t>
      </w:r>
      <w:r>
        <w:rPr>
          <w:rFonts w:hint="eastAsia" w:ascii="宋体" w:hAnsi="宋体" w:cs="宋体"/>
          <w:kern w:val="0"/>
          <w:sz w:val="24"/>
        </w:rPr>
        <w:t>会议召集人：公司董事会。</w:t>
      </w:r>
    </w:p>
    <w:p w14:paraId="7285732E">
      <w:pPr>
        <w:autoSpaceDE w:val="0"/>
        <w:autoSpaceDN w:val="0"/>
        <w:adjustRightInd w:val="0"/>
        <w:spacing w:line="500" w:lineRule="exact"/>
        <w:ind w:firstLine="480" w:firstLineChars="200"/>
        <w:rPr>
          <w:rFonts w:hint="eastAsia" w:ascii="宋体" w:hAnsi="宋体" w:cs="宋体"/>
          <w:kern w:val="0"/>
          <w:sz w:val="24"/>
          <w:highlight w:val="none"/>
        </w:rPr>
      </w:pPr>
      <w:r>
        <w:rPr>
          <w:rFonts w:hint="eastAsia" w:ascii="宋体" w:hAnsi="宋体"/>
          <w:color w:val="000000"/>
          <w:sz w:val="24"/>
          <w:highlight w:val="none"/>
        </w:rPr>
        <w:t>（</w:t>
      </w:r>
      <w:r>
        <w:rPr>
          <w:color w:val="000000"/>
          <w:sz w:val="24"/>
          <w:highlight w:val="none"/>
        </w:rPr>
        <w:t>5</w:t>
      </w:r>
      <w:r>
        <w:rPr>
          <w:rFonts w:hint="eastAsia" w:ascii="宋体" w:hAnsi="宋体"/>
          <w:color w:val="000000"/>
          <w:sz w:val="24"/>
          <w:highlight w:val="none"/>
        </w:rPr>
        <w:t>）</w:t>
      </w:r>
      <w:r>
        <w:rPr>
          <w:rFonts w:hint="eastAsia" w:ascii="宋体" w:hAnsi="宋体" w:cs="宋体"/>
          <w:kern w:val="0"/>
          <w:sz w:val="24"/>
          <w:highlight w:val="none"/>
        </w:rPr>
        <w:t>会议主持人：公司董事长张永明先生。</w:t>
      </w:r>
    </w:p>
    <w:p w14:paraId="77240401">
      <w:pPr>
        <w:autoSpaceDE w:val="0"/>
        <w:autoSpaceDN w:val="0"/>
        <w:adjustRightInd w:val="0"/>
        <w:spacing w:line="500" w:lineRule="exact"/>
        <w:ind w:firstLine="480" w:firstLineChars="200"/>
        <w:rPr>
          <w:rFonts w:hint="eastAsia" w:ascii="宋体" w:hAnsi="宋体" w:cs="宋体"/>
          <w:kern w:val="0"/>
          <w:sz w:val="24"/>
          <w:highlight w:val="none"/>
        </w:rPr>
      </w:pPr>
      <w:r>
        <w:rPr>
          <w:rFonts w:hint="eastAsia" w:ascii="宋体" w:hAnsi="宋体" w:cs="宋体"/>
          <w:kern w:val="0"/>
          <w:sz w:val="24"/>
          <w:highlight w:val="none"/>
        </w:rPr>
        <w:t>本次会议的召集和召开符合《公司法》《上市公司股东会规则》等有关法律法规、规范性文件以及</w:t>
      </w:r>
      <w:r>
        <w:rPr>
          <w:rFonts w:hint="eastAsia" w:ascii="宋体" w:hAnsi="宋体" w:cs="宋体"/>
          <w:kern w:val="0"/>
          <w:sz w:val="24"/>
          <w:highlight w:val="none"/>
          <w:lang w:eastAsia="zh-CN"/>
        </w:rPr>
        <w:t>《</w:t>
      </w:r>
      <w:r>
        <w:rPr>
          <w:rFonts w:hint="eastAsia" w:ascii="宋体" w:hAnsi="宋体" w:cs="宋体"/>
          <w:kern w:val="0"/>
          <w:sz w:val="24"/>
          <w:highlight w:val="none"/>
        </w:rPr>
        <w:t>公司章程</w:t>
      </w:r>
      <w:r>
        <w:rPr>
          <w:rFonts w:hint="eastAsia" w:ascii="宋体" w:hAnsi="宋体" w:cs="宋体"/>
          <w:kern w:val="0"/>
          <w:sz w:val="24"/>
          <w:highlight w:val="none"/>
          <w:lang w:eastAsia="zh-CN"/>
        </w:rPr>
        <w:t>》</w:t>
      </w:r>
      <w:r>
        <w:rPr>
          <w:rFonts w:hint="eastAsia" w:ascii="宋体" w:hAnsi="宋体" w:cs="宋体"/>
          <w:kern w:val="0"/>
          <w:sz w:val="24"/>
          <w:highlight w:val="none"/>
        </w:rPr>
        <w:t>的有关规定。</w:t>
      </w:r>
    </w:p>
    <w:p w14:paraId="7C109AC6">
      <w:pPr>
        <w:numPr>
          <w:ilvl w:val="0"/>
          <w:numId w:val="1"/>
        </w:numPr>
        <w:autoSpaceDE w:val="0"/>
        <w:autoSpaceDN w:val="0"/>
        <w:adjustRightInd w:val="0"/>
        <w:spacing w:line="500" w:lineRule="exact"/>
        <w:ind w:firstLine="480" w:firstLineChars="200"/>
        <w:rPr>
          <w:kern w:val="0"/>
          <w:sz w:val="24"/>
          <w:highlight w:val="none"/>
        </w:rPr>
      </w:pPr>
      <w:r>
        <w:rPr>
          <w:rFonts w:hint="eastAsia"/>
          <w:kern w:val="0"/>
          <w:sz w:val="24"/>
          <w:highlight w:val="none"/>
        </w:rPr>
        <w:t>股东出席的总体情况：</w:t>
      </w:r>
      <w:bookmarkStart w:id="1" w:name="_GoBack"/>
      <w:r>
        <w:rPr>
          <w:kern w:val="0"/>
          <w:sz w:val="24"/>
          <w:highlight w:val="none"/>
        </w:rPr>
        <w:t>通过现场和网络投票的股东</w:t>
      </w:r>
      <w:r>
        <w:rPr>
          <w:rFonts w:hint="eastAsia"/>
          <w:sz w:val="24"/>
          <w:highlight w:val="none"/>
        </w:rPr>
        <w:t>147</w:t>
      </w:r>
      <w:r>
        <w:rPr>
          <w:kern w:val="0"/>
          <w:sz w:val="24"/>
          <w:highlight w:val="none"/>
        </w:rPr>
        <w:t>人，代表股份</w:t>
      </w:r>
      <w:r>
        <w:rPr>
          <w:rFonts w:hint="eastAsia"/>
          <w:sz w:val="24"/>
          <w:highlight w:val="none"/>
        </w:rPr>
        <w:t>72,036,110</w:t>
      </w:r>
      <w:r>
        <w:rPr>
          <w:kern w:val="0"/>
          <w:sz w:val="24"/>
          <w:highlight w:val="none"/>
        </w:rPr>
        <w:t>股，占公司</w:t>
      </w:r>
      <w:r>
        <w:rPr>
          <w:rFonts w:hint="eastAsia"/>
          <w:sz w:val="24"/>
          <w:highlight w:val="none"/>
        </w:rPr>
        <w:t>有表决权股份总数</w:t>
      </w:r>
      <w:r>
        <w:rPr>
          <w:kern w:val="0"/>
          <w:sz w:val="24"/>
          <w:highlight w:val="none"/>
        </w:rPr>
        <w:t>的</w:t>
      </w:r>
      <w:r>
        <w:rPr>
          <w:rFonts w:hint="eastAsia"/>
          <w:sz w:val="24"/>
          <w:highlight w:val="none"/>
        </w:rPr>
        <w:t>27.1675</w:t>
      </w:r>
      <w:r>
        <w:rPr>
          <w:sz w:val="24"/>
          <w:highlight w:val="none"/>
        </w:rPr>
        <w:t>%</w:t>
      </w:r>
      <w:r>
        <w:rPr>
          <w:kern w:val="0"/>
          <w:sz w:val="24"/>
          <w:highlight w:val="none"/>
        </w:rPr>
        <w:t>。其中：通过现场投票的股东</w:t>
      </w:r>
      <w:r>
        <w:rPr>
          <w:rFonts w:hint="eastAsia"/>
          <w:kern w:val="0"/>
          <w:sz w:val="24"/>
          <w:highlight w:val="none"/>
          <w:lang w:val="en-US" w:eastAsia="zh-CN"/>
        </w:rPr>
        <w:t>12</w:t>
      </w:r>
      <w:r>
        <w:rPr>
          <w:kern w:val="0"/>
          <w:sz w:val="24"/>
          <w:highlight w:val="none"/>
        </w:rPr>
        <w:t>人，代表股份</w:t>
      </w:r>
      <w:r>
        <w:rPr>
          <w:rFonts w:hint="eastAsia"/>
          <w:sz w:val="24"/>
          <w:highlight w:val="none"/>
          <w:lang w:val="en-US" w:eastAsia="zh-CN"/>
        </w:rPr>
        <w:t>55,799,971</w:t>
      </w:r>
      <w:r>
        <w:rPr>
          <w:kern w:val="0"/>
          <w:sz w:val="24"/>
          <w:highlight w:val="none"/>
        </w:rPr>
        <w:t>股，占公司</w:t>
      </w:r>
      <w:r>
        <w:rPr>
          <w:rFonts w:hint="eastAsia"/>
          <w:sz w:val="24"/>
          <w:highlight w:val="none"/>
        </w:rPr>
        <w:t>有表决权股份总数</w:t>
      </w:r>
      <w:r>
        <w:rPr>
          <w:kern w:val="0"/>
          <w:sz w:val="24"/>
          <w:highlight w:val="none"/>
        </w:rPr>
        <w:t>的</w:t>
      </w:r>
      <w:r>
        <w:rPr>
          <w:rFonts w:hint="eastAsia"/>
          <w:kern w:val="0"/>
          <w:sz w:val="24"/>
          <w:highlight w:val="none"/>
          <w:lang w:val="en-US" w:eastAsia="zh-CN"/>
        </w:rPr>
        <w:t>21.0442</w:t>
      </w:r>
      <w:r>
        <w:rPr>
          <w:sz w:val="24"/>
          <w:highlight w:val="none"/>
        </w:rPr>
        <w:t>%</w:t>
      </w:r>
      <w:r>
        <w:rPr>
          <w:kern w:val="0"/>
          <w:sz w:val="24"/>
          <w:highlight w:val="none"/>
        </w:rPr>
        <w:t>。通过网络投票的股东</w:t>
      </w:r>
      <w:r>
        <w:rPr>
          <w:rFonts w:hint="eastAsia"/>
          <w:sz w:val="24"/>
          <w:highlight w:val="none"/>
        </w:rPr>
        <w:t>13</w:t>
      </w:r>
      <w:r>
        <w:rPr>
          <w:rFonts w:hint="eastAsia"/>
          <w:sz w:val="24"/>
          <w:highlight w:val="none"/>
          <w:lang w:val="en-US" w:eastAsia="zh-CN"/>
        </w:rPr>
        <w:t>5</w:t>
      </w:r>
      <w:r>
        <w:rPr>
          <w:kern w:val="0"/>
          <w:sz w:val="24"/>
          <w:highlight w:val="none"/>
        </w:rPr>
        <w:t>人，代表股份</w:t>
      </w:r>
      <w:r>
        <w:rPr>
          <w:rFonts w:hint="eastAsia"/>
          <w:kern w:val="0"/>
          <w:sz w:val="24"/>
          <w:highlight w:val="none"/>
        </w:rPr>
        <w:t>16</w:t>
      </w:r>
      <w:r>
        <w:rPr>
          <w:rFonts w:hint="eastAsia"/>
          <w:kern w:val="0"/>
          <w:sz w:val="24"/>
          <w:highlight w:val="none"/>
          <w:lang w:val="en-US" w:eastAsia="zh-CN"/>
        </w:rPr>
        <w:t>,</w:t>
      </w:r>
      <w:r>
        <w:rPr>
          <w:rFonts w:hint="eastAsia"/>
          <w:kern w:val="0"/>
          <w:sz w:val="24"/>
          <w:highlight w:val="none"/>
        </w:rPr>
        <w:t>236</w:t>
      </w:r>
      <w:r>
        <w:rPr>
          <w:rFonts w:hint="eastAsia"/>
          <w:kern w:val="0"/>
          <w:sz w:val="24"/>
          <w:highlight w:val="none"/>
          <w:lang w:val="en-US" w:eastAsia="zh-CN"/>
        </w:rPr>
        <w:t>,</w:t>
      </w:r>
      <w:r>
        <w:rPr>
          <w:rFonts w:hint="eastAsia"/>
          <w:kern w:val="0"/>
          <w:sz w:val="24"/>
          <w:highlight w:val="none"/>
        </w:rPr>
        <w:t>139</w:t>
      </w:r>
      <w:r>
        <w:rPr>
          <w:kern w:val="0"/>
          <w:sz w:val="24"/>
          <w:highlight w:val="none"/>
        </w:rPr>
        <w:t>股，占</w:t>
      </w:r>
      <w:r>
        <w:rPr>
          <w:rFonts w:hint="eastAsia"/>
          <w:sz w:val="24"/>
          <w:highlight w:val="none"/>
        </w:rPr>
        <w:t>公司有表决权股份总数的</w:t>
      </w:r>
      <w:r>
        <w:rPr>
          <w:rFonts w:hint="eastAsia"/>
          <w:sz w:val="24"/>
          <w:highlight w:val="none"/>
          <w:lang w:val="en-US" w:eastAsia="zh-CN"/>
        </w:rPr>
        <w:t>6</w:t>
      </w:r>
      <w:r>
        <w:rPr>
          <w:rFonts w:hint="eastAsia"/>
          <w:sz w:val="24"/>
          <w:highlight w:val="none"/>
        </w:rPr>
        <w:t>.</w:t>
      </w:r>
      <w:r>
        <w:rPr>
          <w:rFonts w:hint="eastAsia"/>
          <w:sz w:val="24"/>
          <w:highlight w:val="none"/>
          <w:lang w:val="en-US" w:eastAsia="zh-CN"/>
        </w:rPr>
        <w:t>1232</w:t>
      </w:r>
      <w:r>
        <w:rPr>
          <w:sz w:val="24"/>
          <w:highlight w:val="none"/>
        </w:rPr>
        <w:t>%</w:t>
      </w:r>
      <w:r>
        <w:rPr>
          <w:kern w:val="0"/>
          <w:sz w:val="24"/>
          <w:highlight w:val="none"/>
        </w:rPr>
        <w:t>。中小股东出席的总体情况：通过现场和网络投票的中小股东</w:t>
      </w:r>
      <w:r>
        <w:rPr>
          <w:rFonts w:hint="eastAsia"/>
          <w:sz w:val="24"/>
          <w:highlight w:val="none"/>
        </w:rPr>
        <w:t>141</w:t>
      </w:r>
      <w:r>
        <w:rPr>
          <w:kern w:val="0"/>
          <w:sz w:val="24"/>
          <w:highlight w:val="none"/>
        </w:rPr>
        <w:t>人，代表股份</w:t>
      </w:r>
      <w:r>
        <w:rPr>
          <w:rFonts w:hint="eastAsia"/>
          <w:sz w:val="24"/>
          <w:highlight w:val="none"/>
        </w:rPr>
        <w:t>1,610,022</w:t>
      </w:r>
      <w:r>
        <w:rPr>
          <w:kern w:val="0"/>
          <w:sz w:val="24"/>
          <w:highlight w:val="none"/>
        </w:rPr>
        <w:t>股，占公司</w:t>
      </w:r>
      <w:r>
        <w:rPr>
          <w:rFonts w:hint="eastAsia"/>
          <w:sz w:val="24"/>
          <w:highlight w:val="none"/>
        </w:rPr>
        <w:t>有表决权股份总数</w:t>
      </w:r>
      <w:r>
        <w:rPr>
          <w:kern w:val="0"/>
          <w:sz w:val="24"/>
          <w:highlight w:val="none"/>
        </w:rPr>
        <w:t>的</w:t>
      </w:r>
      <w:r>
        <w:rPr>
          <w:rFonts w:hint="eastAsia"/>
          <w:sz w:val="24"/>
          <w:highlight w:val="none"/>
        </w:rPr>
        <w:t>0.6072</w:t>
      </w:r>
      <w:r>
        <w:rPr>
          <w:sz w:val="24"/>
          <w:highlight w:val="none"/>
        </w:rPr>
        <w:t>%</w:t>
      </w:r>
      <w:r>
        <w:rPr>
          <w:kern w:val="0"/>
          <w:sz w:val="24"/>
          <w:highlight w:val="none"/>
        </w:rPr>
        <w:t>。其中：通过现场投票的中小股东</w:t>
      </w:r>
      <w:r>
        <w:rPr>
          <w:rFonts w:hint="eastAsia"/>
          <w:kern w:val="0"/>
          <w:sz w:val="24"/>
          <w:highlight w:val="none"/>
        </w:rPr>
        <w:t>7</w:t>
      </w:r>
      <w:r>
        <w:rPr>
          <w:kern w:val="0"/>
          <w:sz w:val="24"/>
          <w:highlight w:val="none"/>
        </w:rPr>
        <w:t>人，代表股份</w:t>
      </w:r>
      <w:r>
        <w:rPr>
          <w:rFonts w:hint="eastAsia"/>
          <w:sz w:val="24"/>
          <w:highlight w:val="none"/>
        </w:rPr>
        <w:t>760,149</w:t>
      </w:r>
      <w:r>
        <w:rPr>
          <w:kern w:val="0"/>
          <w:sz w:val="24"/>
          <w:highlight w:val="none"/>
        </w:rPr>
        <w:t>股，占公司</w:t>
      </w:r>
      <w:r>
        <w:rPr>
          <w:rFonts w:hint="eastAsia"/>
          <w:sz w:val="24"/>
          <w:highlight w:val="none"/>
        </w:rPr>
        <w:t>有表决权股份总数</w:t>
      </w:r>
      <w:r>
        <w:rPr>
          <w:kern w:val="0"/>
          <w:sz w:val="24"/>
          <w:highlight w:val="none"/>
        </w:rPr>
        <w:t>的</w:t>
      </w:r>
      <w:r>
        <w:rPr>
          <w:rFonts w:hint="eastAsia"/>
          <w:sz w:val="24"/>
          <w:highlight w:val="none"/>
        </w:rPr>
        <w:t>0.2791</w:t>
      </w:r>
      <w:r>
        <w:rPr>
          <w:sz w:val="24"/>
          <w:highlight w:val="none"/>
        </w:rPr>
        <w:t>%</w:t>
      </w:r>
      <w:r>
        <w:rPr>
          <w:kern w:val="0"/>
          <w:sz w:val="24"/>
          <w:highlight w:val="none"/>
        </w:rPr>
        <w:t>。通过网络投票的中小股东</w:t>
      </w:r>
      <w:r>
        <w:rPr>
          <w:rFonts w:hint="eastAsia"/>
          <w:sz w:val="24"/>
          <w:highlight w:val="none"/>
        </w:rPr>
        <w:t>134</w:t>
      </w:r>
      <w:r>
        <w:rPr>
          <w:kern w:val="0"/>
          <w:sz w:val="24"/>
          <w:highlight w:val="none"/>
        </w:rPr>
        <w:t>人，代表股份</w:t>
      </w:r>
      <w:r>
        <w:rPr>
          <w:rFonts w:hint="eastAsia"/>
          <w:sz w:val="24"/>
          <w:highlight w:val="none"/>
        </w:rPr>
        <w:t>869,873</w:t>
      </w:r>
      <w:r>
        <w:rPr>
          <w:kern w:val="0"/>
          <w:sz w:val="24"/>
          <w:highlight w:val="none"/>
        </w:rPr>
        <w:t>股，占公司</w:t>
      </w:r>
      <w:r>
        <w:rPr>
          <w:rFonts w:hint="eastAsia"/>
          <w:sz w:val="24"/>
          <w:highlight w:val="none"/>
        </w:rPr>
        <w:t>有表决权股份总数</w:t>
      </w:r>
      <w:r>
        <w:rPr>
          <w:kern w:val="0"/>
          <w:sz w:val="24"/>
          <w:highlight w:val="none"/>
        </w:rPr>
        <w:t>的</w:t>
      </w:r>
      <w:r>
        <w:rPr>
          <w:rFonts w:hint="eastAsia"/>
          <w:sz w:val="24"/>
          <w:highlight w:val="none"/>
        </w:rPr>
        <w:t>0.3281</w:t>
      </w:r>
      <w:r>
        <w:rPr>
          <w:sz w:val="24"/>
          <w:highlight w:val="none"/>
        </w:rPr>
        <w:t>%</w:t>
      </w:r>
      <w:r>
        <w:rPr>
          <w:kern w:val="0"/>
          <w:sz w:val="24"/>
          <w:highlight w:val="none"/>
        </w:rPr>
        <w:t>。</w:t>
      </w:r>
      <w:bookmarkEnd w:id="1"/>
    </w:p>
    <w:p w14:paraId="1377A7E1">
      <w:pPr>
        <w:autoSpaceDE w:val="0"/>
        <w:autoSpaceDN w:val="0"/>
        <w:adjustRightInd w:val="0"/>
        <w:spacing w:line="500" w:lineRule="exact"/>
        <w:ind w:firstLine="480" w:firstLineChars="200"/>
        <w:rPr>
          <w:rFonts w:hint="eastAsia" w:ascii="宋体" w:hAnsi="宋体" w:cs="宋体"/>
          <w:kern w:val="0"/>
          <w:sz w:val="24"/>
          <w:highlight w:val="none"/>
        </w:rPr>
      </w:pPr>
      <w:r>
        <w:rPr>
          <w:kern w:val="0"/>
          <w:sz w:val="24"/>
          <w:highlight w:val="none"/>
        </w:rPr>
        <w:t>3</w:t>
      </w:r>
      <w:r>
        <w:rPr>
          <w:rFonts w:hint="eastAsia" w:ascii="宋体" w:hAnsi="宋体" w:cs="宋体"/>
          <w:kern w:val="0"/>
          <w:sz w:val="24"/>
          <w:highlight w:val="none"/>
        </w:rPr>
        <w:t>、除公司股东外，其他出席或列席本次会议的人员为公司董事、监事、董事会秘书、</w:t>
      </w:r>
      <w:r>
        <w:rPr>
          <w:rFonts w:hint="eastAsia" w:ascii="宋体" w:hAnsi="宋体" w:cs="宋体"/>
          <w:kern w:val="0"/>
          <w:sz w:val="24"/>
          <w:highlight w:val="none"/>
          <w:lang w:val="en-US" w:eastAsia="zh-CN"/>
        </w:rPr>
        <w:t>部分</w:t>
      </w:r>
      <w:r>
        <w:rPr>
          <w:rFonts w:hint="eastAsia" w:ascii="宋体" w:hAnsi="宋体" w:cs="宋体"/>
          <w:kern w:val="0"/>
          <w:sz w:val="24"/>
          <w:highlight w:val="none"/>
        </w:rPr>
        <w:t>高级管理人员及公司聘请的律师等。</w:t>
      </w:r>
    </w:p>
    <w:p w14:paraId="5C7DFF20">
      <w:pPr>
        <w:autoSpaceDE w:val="0"/>
        <w:autoSpaceDN w:val="0"/>
        <w:adjustRightInd w:val="0"/>
        <w:spacing w:before="156" w:beforeLines="50" w:line="500" w:lineRule="exact"/>
        <w:ind w:firstLine="482" w:firstLineChars="200"/>
        <w:rPr>
          <w:rFonts w:hint="eastAsia" w:ascii="宋体" w:hAnsi="宋体" w:cs="宋体"/>
          <w:b/>
          <w:kern w:val="0"/>
          <w:sz w:val="24"/>
          <w:highlight w:val="none"/>
        </w:rPr>
      </w:pPr>
      <w:r>
        <w:rPr>
          <w:rFonts w:hint="eastAsia" w:ascii="宋体" w:hAnsi="宋体" w:cs="宋体"/>
          <w:b/>
          <w:kern w:val="0"/>
          <w:sz w:val="24"/>
          <w:highlight w:val="none"/>
        </w:rPr>
        <w:t>二、议案审议和表决情况</w:t>
      </w:r>
    </w:p>
    <w:p w14:paraId="05767779">
      <w:pPr>
        <w:autoSpaceDE w:val="0"/>
        <w:autoSpaceDN w:val="0"/>
        <w:adjustRightInd w:val="0"/>
        <w:spacing w:line="500" w:lineRule="exact"/>
        <w:ind w:firstLine="480" w:firstLineChars="200"/>
        <w:rPr>
          <w:sz w:val="24"/>
          <w:highlight w:val="none"/>
        </w:rPr>
      </w:pPr>
      <w:r>
        <w:rPr>
          <w:rFonts w:hint="eastAsia" w:ascii="宋体" w:hAnsi="宋体" w:cs="宋体"/>
          <w:kern w:val="0"/>
          <w:sz w:val="24"/>
          <w:highlight w:val="none"/>
        </w:rPr>
        <w:t>本次会议采取现场投票与网络投票相结合的方式，表决情况如下：</w:t>
      </w:r>
    </w:p>
    <w:p w14:paraId="0A1E0477">
      <w:pPr>
        <w:numPr>
          <w:ilvl w:val="0"/>
          <w:numId w:val="2"/>
        </w:numPr>
        <w:tabs>
          <w:tab w:val="left" w:pos="567"/>
          <w:tab w:val="left" w:pos="1004"/>
        </w:tabs>
        <w:spacing w:before="120" w:line="500" w:lineRule="exact"/>
        <w:ind w:left="0" w:firstLine="482" w:firstLineChars="200"/>
        <w:rPr>
          <w:rFonts w:ascii="宋体" w:hAnsi="宋体"/>
          <w:b/>
          <w:bCs/>
          <w:sz w:val="24"/>
          <w:highlight w:val="none"/>
        </w:rPr>
      </w:pPr>
      <w:r>
        <w:rPr>
          <w:rFonts w:hint="eastAsia" w:ascii="宋体" w:hAnsi="宋体"/>
          <w:b/>
          <w:bCs/>
          <w:sz w:val="24"/>
          <w:highlight w:val="none"/>
          <w:lang w:eastAsia="zh-CN"/>
        </w:rPr>
        <w:t>审议通过</w:t>
      </w:r>
      <w:r>
        <w:rPr>
          <w:rFonts w:hint="eastAsia" w:ascii="宋体" w:hAnsi="宋体"/>
          <w:b/>
          <w:bCs/>
          <w:sz w:val="24"/>
          <w:highlight w:val="none"/>
        </w:rPr>
        <w:t>《关于修订&lt;公司章程&gt;及其附件的议案》</w:t>
      </w:r>
    </w:p>
    <w:p w14:paraId="02A257FC">
      <w:pPr>
        <w:autoSpaceDE w:val="0"/>
        <w:autoSpaceDN w:val="0"/>
        <w:adjustRightInd w:val="0"/>
        <w:spacing w:before="120" w:line="500" w:lineRule="exact"/>
        <w:ind w:firstLine="480" w:firstLineChars="200"/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</w:rPr>
        <w:t>表决情况为：同意71,809,606股，占出席本次股东会有效表决权股份总数的99.6856％；反对187,904股，占出席本次股东会有效表决权股份总数的0.2608％；弃权38,600股（其中，因未投票默认弃权0股），占出席本次股东会有效表决权股份总数的0.0536％。</w:t>
      </w:r>
    </w:p>
    <w:p w14:paraId="15F9CCBF">
      <w:pPr>
        <w:autoSpaceDE w:val="0"/>
        <w:autoSpaceDN w:val="0"/>
        <w:adjustRightInd w:val="0"/>
        <w:spacing w:before="120" w:line="500" w:lineRule="exact"/>
        <w:ind w:firstLine="480" w:firstLineChars="200"/>
        <w:rPr>
          <w:rFonts w:hint="default" w:eastAsia="宋体"/>
          <w:sz w:val="24"/>
          <w:highlight w:val="none"/>
          <w:lang w:val="en-US" w:eastAsia="zh-CN"/>
        </w:rPr>
      </w:pPr>
      <w:r>
        <w:rPr>
          <w:rFonts w:hint="eastAsia"/>
          <w:sz w:val="24"/>
          <w:highlight w:val="none"/>
          <w:lang w:val="en-US" w:eastAsia="zh-CN"/>
        </w:rPr>
        <w:t>表决结果：</w:t>
      </w:r>
      <w:r>
        <w:rPr>
          <w:rFonts w:hint="eastAsia"/>
          <w:sz w:val="24"/>
          <w:highlight w:val="none"/>
        </w:rPr>
        <w:t>本议案</w:t>
      </w:r>
      <w:r>
        <w:rPr>
          <w:rFonts w:hint="eastAsia"/>
          <w:sz w:val="24"/>
          <w:highlight w:val="none"/>
          <w:lang w:val="en-US" w:eastAsia="zh-CN"/>
        </w:rPr>
        <w:t>属于</w:t>
      </w:r>
      <w:r>
        <w:rPr>
          <w:rFonts w:hint="eastAsia"/>
          <w:sz w:val="24"/>
          <w:highlight w:val="none"/>
        </w:rPr>
        <w:t>特别决议事项，已经出席会议的股东所持有效表决权的</w:t>
      </w:r>
      <w:r>
        <w:rPr>
          <w:rFonts w:hint="eastAsia"/>
          <w:sz w:val="24"/>
          <w:highlight w:val="none"/>
          <w:lang w:eastAsia="zh-CN"/>
        </w:rPr>
        <w:t>2</w:t>
      </w:r>
      <w:r>
        <w:rPr>
          <w:rFonts w:hint="eastAsia"/>
          <w:sz w:val="24"/>
          <w:highlight w:val="none"/>
          <w:lang w:val="en-US" w:eastAsia="zh-CN"/>
        </w:rPr>
        <w:t>/3</w:t>
      </w:r>
      <w:r>
        <w:rPr>
          <w:rFonts w:hint="eastAsia"/>
          <w:sz w:val="24"/>
          <w:highlight w:val="none"/>
        </w:rPr>
        <w:t>以上</w:t>
      </w:r>
      <w:r>
        <w:rPr>
          <w:rFonts w:hint="eastAsia"/>
          <w:sz w:val="24"/>
          <w:highlight w:val="none"/>
          <w:lang w:val="en-US" w:eastAsia="zh-CN"/>
        </w:rPr>
        <w:t>表决</w:t>
      </w:r>
      <w:r>
        <w:rPr>
          <w:rFonts w:hint="eastAsia"/>
          <w:sz w:val="24"/>
          <w:highlight w:val="none"/>
        </w:rPr>
        <w:t>通过。</w:t>
      </w:r>
    </w:p>
    <w:p w14:paraId="03E9A7CA">
      <w:pPr>
        <w:numPr>
          <w:ilvl w:val="0"/>
          <w:numId w:val="2"/>
        </w:numPr>
        <w:tabs>
          <w:tab w:val="left" w:pos="567"/>
          <w:tab w:val="left" w:pos="1004"/>
        </w:tabs>
        <w:autoSpaceDE/>
        <w:autoSpaceDN/>
        <w:adjustRightInd/>
        <w:spacing w:before="120" w:line="500" w:lineRule="exact"/>
        <w:ind w:left="0" w:firstLine="482" w:firstLineChars="200"/>
        <w:rPr>
          <w:rFonts w:hint="eastAsia" w:ascii="宋体" w:hAnsi="宋体"/>
          <w:b/>
          <w:bCs/>
          <w:sz w:val="24"/>
          <w:highlight w:val="none"/>
        </w:rPr>
      </w:pPr>
      <w:r>
        <w:rPr>
          <w:rFonts w:hint="eastAsia" w:ascii="宋体" w:hAnsi="宋体"/>
          <w:b/>
          <w:bCs/>
          <w:sz w:val="24"/>
          <w:highlight w:val="none"/>
        </w:rPr>
        <w:t>逐项审议通过《关于修订公司部分治理制度的议案》</w:t>
      </w:r>
    </w:p>
    <w:p w14:paraId="32FE3408">
      <w:pPr>
        <w:autoSpaceDE w:val="0"/>
        <w:autoSpaceDN w:val="0"/>
        <w:adjustRightInd w:val="0"/>
        <w:spacing w:before="120" w:line="500" w:lineRule="exact"/>
        <w:ind w:firstLine="482" w:firstLineChars="200"/>
        <w:rPr>
          <w:rFonts w:hint="eastAsia"/>
          <w:b/>
          <w:bCs/>
          <w:sz w:val="24"/>
          <w:highlight w:val="none"/>
        </w:rPr>
      </w:pPr>
      <w:r>
        <w:rPr>
          <w:rFonts w:hint="eastAsia"/>
          <w:b/>
          <w:bCs/>
          <w:sz w:val="24"/>
          <w:highlight w:val="none"/>
        </w:rPr>
        <w:t>2.01《关于修订&lt;股东会网络投票管理制度&gt;的议案》</w:t>
      </w:r>
    </w:p>
    <w:p w14:paraId="6B7EAEF7">
      <w:pPr>
        <w:autoSpaceDE w:val="0"/>
        <w:autoSpaceDN w:val="0"/>
        <w:adjustRightInd w:val="0"/>
        <w:spacing w:before="120" w:line="500" w:lineRule="exact"/>
        <w:ind w:firstLine="480" w:firstLineChars="200"/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</w:rPr>
        <w:t>表决情况为：同意71,809,606股，占出席本次股东会有效表决权股份总数的99.6856％；反对187,904股，占出席本次股东会有效表决权股份总数的0.2608％；弃权38,600股（其中，因未投票默认弃权0股），占出席本次股东会有效表决权股份总数的0.0536％。</w:t>
      </w:r>
    </w:p>
    <w:p w14:paraId="0960E9E8">
      <w:pPr>
        <w:autoSpaceDE w:val="0"/>
        <w:autoSpaceDN w:val="0"/>
        <w:adjustRightInd w:val="0"/>
        <w:spacing w:before="120" w:line="500" w:lineRule="exact"/>
        <w:ind w:firstLine="480" w:firstLineChars="200"/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</w:rPr>
        <w:t>表决结果：本议案表决通过。</w:t>
      </w:r>
    </w:p>
    <w:p w14:paraId="1C80FC03">
      <w:pPr>
        <w:autoSpaceDE w:val="0"/>
        <w:autoSpaceDN w:val="0"/>
        <w:adjustRightInd w:val="0"/>
        <w:spacing w:before="120" w:line="500" w:lineRule="exact"/>
        <w:ind w:firstLine="482" w:firstLineChars="200"/>
        <w:rPr>
          <w:rFonts w:hint="eastAsia"/>
          <w:b/>
          <w:bCs/>
          <w:sz w:val="24"/>
          <w:highlight w:val="none"/>
        </w:rPr>
      </w:pPr>
      <w:r>
        <w:rPr>
          <w:rFonts w:hint="eastAsia"/>
          <w:b/>
          <w:bCs/>
          <w:sz w:val="24"/>
          <w:highlight w:val="none"/>
        </w:rPr>
        <w:t>2.02《关于修订&lt;独立董事工作细则&gt;的议案》</w:t>
      </w:r>
    </w:p>
    <w:p w14:paraId="0FB3A2C4">
      <w:pPr>
        <w:autoSpaceDE w:val="0"/>
        <w:autoSpaceDN w:val="0"/>
        <w:adjustRightInd w:val="0"/>
        <w:spacing w:before="120" w:line="500" w:lineRule="exact"/>
        <w:ind w:firstLine="480" w:firstLineChars="200"/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</w:rPr>
        <w:t>表决情况为：同意71,809,606股，占出席本次股东会有效表决权股份总数的99.6856％；反对187,904股，占出席本次股东会有效表决权股份总数的0.2608％；弃权38,600股（其中，因未投票默认弃权0股），占出席本次股东会有效表决权股份总数的0.0536％。</w:t>
      </w:r>
    </w:p>
    <w:p w14:paraId="666AF5E6">
      <w:pPr>
        <w:autoSpaceDE w:val="0"/>
        <w:autoSpaceDN w:val="0"/>
        <w:adjustRightInd w:val="0"/>
        <w:spacing w:before="120" w:line="500" w:lineRule="exact"/>
        <w:ind w:firstLine="480" w:firstLineChars="200"/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</w:rPr>
        <w:t>表决结果：本议案表决通过。</w:t>
      </w:r>
    </w:p>
    <w:p w14:paraId="33DD3F14">
      <w:pPr>
        <w:autoSpaceDE w:val="0"/>
        <w:autoSpaceDN w:val="0"/>
        <w:adjustRightInd w:val="0"/>
        <w:spacing w:before="120" w:line="500" w:lineRule="exact"/>
        <w:ind w:firstLine="482" w:firstLineChars="200"/>
        <w:rPr>
          <w:rFonts w:hint="eastAsia"/>
          <w:b/>
          <w:bCs/>
          <w:sz w:val="24"/>
          <w:highlight w:val="none"/>
        </w:rPr>
      </w:pPr>
      <w:r>
        <w:rPr>
          <w:rFonts w:hint="eastAsia"/>
          <w:b/>
          <w:bCs/>
          <w:sz w:val="24"/>
          <w:highlight w:val="none"/>
        </w:rPr>
        <w:t>2.03《关于修订&lt;累积投票制实施细则&gt;的议案》</w:t>
      </w:r>
    </w:p>
    <w:p w14:paraId="73E88167">
      <w:pPr>
        <w:autoSpaceDE w:val="0"/>
        <w:autoSpaceDN w:val="0"/>
        <w:adjustRightInd w:val="0"/>
        <w:spacing w:before="120" w:line="500" w:lineRule="exact"/>
        <w:ind w:firstLine="480" w:firstLineChars="200"/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</w:rPr>
        <w:t>表决情况为：同意</w:t>
      </w:r>
      <w:r>
        <w:rPr>
          <w:rFonts w:hint="eastAsia"/>
          <w:sz w:val="24"/>
          <w:highlight w:val="none"/>
          <w:lang w:val="en-US" w:eastAsia="zh-CN"/>
        </w:rPr>
        <w:t>56,443,340</w:t>
      </w:r>
      <w:r>
        <w:rPr>
          <w:rFonts w:hint="eastAsia"/>
          <w:sz w:val="24"/>
          <w:highlight w:val="none"/>
        </w:rPr>
        <w:t>股，占出席本次股东会有效表决权股份总数的</w:t>
      </w:r>
      <w:r>
        <w:rPr>
          <w:rFonts w:hint="eastAsia"/>
          <w:sz w:val="24"/>
          <w:highlight w:val="none"/>
          <w:lang w:val="en-US" w:eastAsia="zh-CN"/>
        </w:rPr>
        <w:t>78.3542</w:t>
      </w:r>
      <w:r>
        <w:rPr>
          <w:rFonts w:hint="eastAsia"/>
          <w:sz w:val="24"/>
          <w:highlight w:val="none"/>
        </w:rPr>
        <w:t>％；反对187,904股，占出席本次股东会有效表决权股份总数的0.2608％；弃权15</w:t>
      </w:r>
      <w:r>
        <w:rPr>
          <w:rFonts w:hint="eastAsia"/>
          <w:sz w:val="24"/>
          <w:highlight w:val="none"/>
          <w:lang w:val="en-US" w:eastAsia="zh-CN"/>
        </w:rPr>
        <w:t>,</w:t>
      </w:r>
      <w:r>
        <w:rPr>
          <w:rFonts w:hint="eastAsia"/>
          <w:sz w:val="24"/>
          <w:highlight w:val="none"/>
        </w:rPr>
        <w:t>404</w:t>
      </w:r>
      <w:r>
        <w:rPr>
          <w:rFonts w:hint="eastAsia"/>
          <w:sz w:val="24"/>
          <w:highlight w:val="none"/>
          <w:lang w:val="en-US" w:eastAsia="zh-CN"/>
        </w:rPr>
        <w:t>,</w:t>
      </w:r>
      <w:r>
        <w:rPr>
          <w:rFonts w:hint="eastAsia"/>
          <w:sz w:val="24"/>
          <w:highlight w:val="none"/>
        </w:rPr>
        <w:t>866股（其中，因未投票默认弃权0股），占出席本次股东会有效表决权股份总数的</w:t>
      </w:r>
      <w:r>
        <w:rPr>
          <w:rFonts w:hint="eastAsia"/>
          <w:sz w:val="24"/>
          <w:highlight w:val="none"/>
          <w:lang w:val="en-US" w:eastAsia="zh-CN"/>
        </w:rPr>
        <w:t>21.3849</w:t>
      </w:r>
      <w:r>
        <w:rPr>
          <w:rFonts w:hint="eastAsia"/>
          <w:sz w:val="24"/>
          <w:highlight w:val="none"/>
        </w:rPr>
        <w:t>％。</w:t>
      </w:r>
    </w:p>
    <w:p w14:paraId="0B9F493D">
      <w:pPr>
        <w:autoSpaceDE w:val="0"/>
        <w:autoSpaceDN w:val="0"/>
        <w:adjustRightInd w:val="0"/>
        <w:spacing w:before="120" w:line="500" w:lineRule="exact"/>
        <w:ind w:firstLine="480" w:firstLineChars="200"/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</w:rPr>
        <w:t>表决结果：本议案表决通过。</w:t>
      </w:r>
    </w:p>
    <w:p w14:paraId="21D20370">
      <w:pPr>
        <w:autoSpaceDE w:val="0"/>
        <w:autoSpaceDN w:val="0"/>
        <w:adjustRightInd w:val="0"/>
        <w:spacing w:before="120" w:line="500" w:lineRule="exact"/>
        <w:ind w:firstLine="482" w:firstLineChars="200"/>
        <w:rPr>
          <w:rFonts w:hint="eastAsia"/>
          <w:b/>
          <w:bCs/>
          <w:sz w:val="24"/>
          <w:highlight w:val="none"/>
        </w:rPr>
      </w:pPr>
      <w:r>
        <w:rPr>
          <w:rFonts w:hint="eastAsia"/>
          <w:b/>
          <w:bCs/>
          <w:sz w:val="24"/>
          <w:highlight w:val="none"/>
        </w:rPr>
        <w:t>2.04《修订&lt;利润分配管理制度&gt;的议案》</w:t>
      </w:r>
    </w:p>
    <w:p w14:paraId="1B6FF74A">
      <w:pPr>
        <w:autoSpaceDE w:val="0"/>
        <w:autoSpaceDN w:val="0"/>
        <w:adjustRightInd w:val="0"/>
        <w:spacing w:before="120" w:line="500" w:lineRule="exact"/>
        <w:ind w:firstLine="480" w:firstLineChars="200"/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</w:rPr>
        <w:t>表决情况为：同意71,797,506股，占出席本次股东会有效表决权股份总数的99.6688％；反对189,504股，占出席本次股东会有效表决权股份总数的0.2631％；弃权49,100股（其中，因未投票默认弃权0股），占出席本次股东会有效表决权股份总数的0.0682％。</w:t>
      </w:r>
    </w:p>
    <w:p w14:paraId="67F3744C">
      <w:pPr>
        <w:autoSpaceDE w:val="0"/>
        <w:autoSpaceDN w:val="0"/>
        <w:adjustRightInd w:val="0"/>
        <w:spacing w:before="120" w:line="500" w:lineRule="exact"/>
        <w:ind w:firstLine="480" w:firstLineChars="200"/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</w:rPr>
        <w:t>表决结果：本议案表决通过。</w:t>
      </w:r>
    </w:p>
    <w:p w14:paraId="67F02975">
      <w:pPr>
        <w:autoSpaceDE w:val="0"/>
        <w:autoSpaceDN w:val="0"/>
        <w:adjustRightInd w:val="0"/>
        <w:spacing w:before="120" w:line="500" w:lineRule="exact"/>
        <w:ind w:firstLine="482" w:firstLineChars="200"/>
        <w:rPr>
          <w:rFonts w:hint="eastAsia"/>
          <w:b/>
          <w:bCs/>
          <w:sz w:val="24"/>
          <w:highlight w:val="none"/>
        </w:rPr>
      </w:pPr>
      <w:r>
        <w:rPr>
          <w:rFonts w:hint="eastAsia"/>
          <w:b/>
          <w:bCs/>
          <w:sz w:val="24"/>
          <w:highlight w:val="none"/>
        </w:rPr>
        <w:t>2.05《修订&lt;关联交易管理办法&gt;的议案》</w:t>
      </w:r>
    </w:p>
    <w:p w14:paraId="4ECABEFD">
      <w:pPr>
        <w:autoSpaceDE w:val="0"/>
        <w:autoSpaceDN w:val="0"/>
        <w:adjustRightInd w:val="0"/>
        <w:spacing w:before="120" w:line="500" w:lineRule="exact"/>
        <w:ind w:firstLine="480" w:firstLineChars="200"/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</w:rPr>
        <w:t>表决情况为：同意71,809,606股，占出席本次股东会有效表决权股份总数的99.6856％；反对187,904股，占出席本次股东会有效表决权股份总数的0.2608％；弃权38,600股（其中，因未投票默认弃权0股），占出席本次股东会有效表决权股份总数的0.0536％。</w:t>
      </w:r>
    </w:p>
    <w:p w14:paraId="12DF9AE6">
      <w:pPr>
        <w:autoSpaceDE w:val="0"/>
        <w:autoSpaceDN w:val="0"/>
        <w:adjustRightInd w:val="0"/>
        <w:spacing w:before="120" w:line="500" w:lineRule="exact"/>
        <w:ind w:firstLine="480" w:firstLineChars="200"/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</w:rPr>
        <w:t>表决结果：本议案表决通过。</w:t>
      </w:r>
    </w:p>
    <w:p w14:paraId="197053DC">
      <w:pPr>
        <w:autoSpaceDE w:val="0"/>
        <w:autoSpaceDN w:val="0"/>
        <w:adjustRightInd w:val="0"/>
        <w:spacing w:before="120" w:line="500" w:lineRule="exact"/>
        <w:ind w:firstLine="482" w:firstLineChars="200"/>
        <w:rPr>
          <w:rFonts w:hint="eastAsia"/>
          <w:b/>
          <w:bCs/>
          <w:sz w:val="24"/>
          <w:highlight w:val="none"/>
        </w:rPr>
      </w:pPr>
      <w:r>
        <w:rPr>
          <w:rFonts w:hint="eastAsia"/>
          <w:b/>
          <w:bCs/>
          <w:sz w:val="24"/>
          <w:highlight w:val="none"/>
        </w:rPr>
        <w:t>2.06《修订&lt;对外投资管理制度&gt;的议案》</w:t>
      </w:r>
    </w:p>
    <w:p w14:paraId="00900563">
      <w:pPr>
        <w:autoSpaceDE w:val="0"/>
        <w:autoSpaceDN w:val="0"/>
        <w:adjustRightInd w:val="0"/>
        <w:spacing w:before="120" w:line="500" w:lineRule="exact"/>
        <w:ind w:firstLine="480" w:firstLineChars="200"/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</w:rPr>
        <w:t>表决情况为：同意71,781,306股，占出席本次股东会有效表决权股份总数的99.6463％；反对187,904股，占出席本次股东会有效表决权股份总数的0.2608％；弃权66,900股（其中，因未投票默认弃权17,800股），占出席本次股东会有效表决权股份总数的0.0929％。</w:t>
      </w:r>
    </w:p>
    <w:p w14:paraId="5AE75D80">
      <w:pPr>
        <w:autoSpaceDE w:val="0"/>
        <w:autoSpaceDN w:val="0"/>
        <w:adjustRightInd w:val="0"/>
        <w:spacing w:before="120" w:line="500" w:lineRule="exact"/>
        <w:ind w:firstLine="480" w:firstLineChars="200"/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</w:rPr>
        <w:t>表决结果：本议案表决通过。</w:t>
      </w:r>
    </w:p>
    <w:p w14:paraId="73EDAF99">
      <w:pPr>
        <w:autoSpaceDE w:val="0"/>
        <w:autoSpaceDN w:val="0"/>
        <w:adjustRightInd w:val="0"/>
        <w:spacing w:before="120" w:line="500" w:lineRule="exact"/>
        <w:ind w:firstLine="482" w:firstLineChars="200"/>
        <w:rPr>
          <w:rFonts w:hint="eastAsia"/>
          <w:b/>
          <w:bCs/>
          <w:sz w:val="24"/>
          <w:highlight w:val="none"/>
        </w:rPr>
      </w:pPr>
      <w:r>
        <w:rPr>
          <w:rFonts w:hint="eastAsia"/>
          <w:b/>
          <w:bCs/>
          <w:sz w:val="24"/>
          <w:highlight w:val="none"/>
        </w:rPr>
        <w:t>2.07《修订&lt;对外担保管理制度&gt;的议案》</w:t>
      </w:r>
    </w:p>
    <w:p w14:paraId="61FE691B">
      <w:pPr>
        <w:autoSpaceDE w:val="0"/>
        <w:autoSpaceDN w:val="0"/>
        <w:adjustRightInd w:val="0"/>
        <w:spacing w:before="120" w:line="500" w:lineRule="exact"/>
        <w:ind w:firstLine="480" w:firstLineChars="200"/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</w:rPr>
        <w:t>表决情况为：同意71,797,106股，占出席本次股东会有效表决权股份总数的99.6682％；反对187,904股，占出席本次股东会有效表决权股份总数的0.2608％；弃权51,100股（其中，因未投票默认弃权0股），占出席本次股东会有效表决权股份总数的0.0709％。</w:t>
      </w:r>
    </w:p>
    <w:p w14:paraId="59EE7C48">
      <w:pPr>
        <w:autoSpaceDE w:val="0"/>
        <w:autoSpaceDN w:val="0"/>
        <w:adjustRightInd w:val="0"/>
        <w:spacing w:before="120" w:line="500" w:lineRule="exact"/>
        <w:ind w:firstLine="480" w:firstLineChars="200"/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</w:rPr>
        <w:t>表决结果：本议案表决通过。</w:t>
      </w:r>
    </w:p>
    <w:p w14:paraId="14308690">
      <w:pPr>
        <w:autoSpaceDE w:val="0"/>
        <w:autoSpaceDN w:val="0"/>
        <w:adjustRightInd w:val="0"/>
        <w:spacing w:before="120" w:line="500" w:lineRule="exact"/>
        <w:ind w:firstLine="482" w:firstLineChars="200"/>
        <w:rPr>
          <w:rFonts w:hint="eastAsia"/>
          <w:b/>
          <w:bCs/>
          <w:sz w:val="24"/>
          <w:highlight w:val="none"/>
        </w:rPr>
      </w:pPr>
      <w:r>
        <w:rPr>
          <w:rFonts w:hint="eastAsia"/>
          <w:b/>
          <w:bCs/>
          <w:sz w:val="24"/>
          <w:highlight w:val="none"/>
        </w:rPr>
        <w:t>2.08《修订&lt;募集资金使用管理制度&gt;的议案》</w:t>
      </w:r>
    </w:p>
    <w:p w14:paraId="2A7F1C02">
      <w:pPr>
        <w:autoSpaceDE w:val="0"/>
        <w:autoSpaceDN w:val="0"/>
        <w:adjustRightInd w:val="0"/>
        <w:spacing w:before="120" w:line="500" w:lineRule="exact"/>
        <w:ind w:firstLine="480" w:firstLineChars="200"/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</w:rPr>
        <w:t>表决情况为：同意71,813,406股，占出席本次股东会有效表决权股份总数的99.6908％；反对187,904股，占出席本次股东会有效表决权股份总数的0.2608％；弃权34,800股（其中，因未投票默认弃权0股），占出席本次股东会有效表决权股份总数的0.0483％。</w:t>
      </w:r>
    </w:p>
    <w:p w14:paraId="418DD00E">
      <w:pPr>
        <w:autoSpaceDE w:val="0"/>
        <w:autoSpaceDN w:val="0"/>
        <w:adjustRightInd w:val="0"/>
        <w:spacing w:before="120" w:line="500" w:lineRule="exact"/>
        <w:ind w:firstLine="480" w:firstLineChars="200"/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</w:rPr>
        <w:t>表决结果：本议案表决通过。</w:t>
      </w:r>
    </w:p>
    <w:p w14:paraId="733DC0F5">
      <w:pPr>
        <w:numPr>
          <w:ilvl w:val="0"/>
          <w:numId w:val="2"/>
        </w:numPr>
        <w:tabs>
          <w:tab w:val="left" w:pos="567"/>
          <w:tab w:val="left" w:pos="1004"/>
        </w:tabs>
        <w:spacing w:before="120" w:line="500" w:lineRule="exact"/>
        <w:ind w:left="0" w:firstLine="482" w:firstLineChars="200"/>
        <w:rPr>
          <w:rFonts w:hint="eastAsia"/>
          <w:b/>
          <w:bCs/>
          <w:sz w:val="24"/>
          <w:highlight w:val="none"/>
        </w:rPr>
      </w:pPr>
      <w:r>
        <w:rPr>
          <w:rFonts w:ascii="宋体" w:hAnsi="宋体" w:eastAsia="宋体" w:cs="宋体"/>
          <w:b/>
          <w:bCs/>
          <w:sz w:val="24"/>
          <w:szCs w:val="24"/>
          <w:highlight w:val="none"/>
        </w:rPr>
        <w:t>审议</w:t>
      </w:r>
      <w:r>
        <w:rPr>
          <w:rFonts w:hint="eastAsia" w:ascii="宋体" w:hAnsi="宋体" w:cs="宋体"/>
          <w:b/>
          <w:bCs/>
          <w:sz w:val="24"/>
          <w:highlight w:val="none"/>
        </w:rPr>
        <w:t>通过《关于公司董事薪酬与考核方案的议案》</w:t>
      </w:r>
    </w:p>
    <w:p w14:paraId="07D43D05">
      <w:pPr>
        <w:autoSpaceDE w:val="0"/>
        <w:autoSpaceDN w:val="0"/>
        <w:adjustRightInd w:val="0"/>
        <w:spacing w:before="120" w:line="500" w:lineRule="exact"/>
        <w:ind w:firstLine="480" w:firstLineChars="200"/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</w:rPr>
        <w:t>关联股东北京世纪天富创业投资中心（有限合伙）、北京天佑瑞元医药科技有限公司</w:t>
      </w:r>
      <w:r>
        <w:rPr>
          <w:rFonts w:hint="eastAsia"/>
          <w:sz w:val="24"/>
          <w:highlight w:val="none"/>
          <w:lang w:eastAsia="zh-CN"/>
        </w:rPr>
        <w:t>、西藏金淦企业管理咨询有限公司、</w:t>
      </w:r>
      <w:r>
        <w:rPr>
          <w:rFonts w:hint="eastAsia"/>
          <w:sz w:val="24"/>
          <w:highlight w:val="none"/>
        </w:rPr>
        <w:t>广东知光生物科技有限公司回避了本议案的表决。</w:t>
      </w:r>
    </w:p>
    <w:p w14:paraId="504CA669">
      <w:pPr>
        <w:autoSpaceDE w:val="0"/>
        <w:autoSpaceDN w:val="0"/>
        <w:adjustRightInd w:val="0"/>
        <w:spacing w:before="120" w:line="500" w:lineRule="exact"/>
        <w:ind w:firstLine="480" w:firstLineChars="200"/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</w:rPr>
        <w:t>表决</w:t>
      </w:r>
      <w:r>
        <w:rPr>
          <w:rFonts w:hint="eastAsia"/>
          <w:sz w:val="24"/>
          <w:highlight w:val="none"/>
          <w:lang w:val="en-US" w:eastAsia="zh-CN"/>
        </w:rPr>
        <w:t>情况为</w:t>
      </w:r>
      <w:r>
        <w:rPr>
          <w:rFonts w:hint="eastAsia"/>
          <w:sz w:val="24"/>
          <w:highlight w:val="none"/>
        </w:rPr>
        <w:t>：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</w:rPr>
        <w:t>同意</w:t>
      </w:r>
      <w:r>
        <w:rPr>
          <w:rFonts w:hint="eastAsia" w:cs="Times New Roman"/>
          <w:sz w:val="24"/>
          <w:szCs w:val="24"/>
          <w:highlight w:val="none"/>
          <w:lang w:val="en-US" w:eastAsia="zh-CN"/>
        </w:rPr>
        <w:t>1,386,218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</w:rPr>
        <w:t>股，占出席会议非关联股东所持有表决权股份的</w:t>
      </w:r>
      <w:r>
        <w:rPr>
          <w:rFonts w:hint="eastAsia" w:cs="Times New Roman"/>
          <w:sz w:val="24"/>
          <w:szCs w:val="24"/>
          <w:highlight w:val="none"/>
          <w:lang w:val="en-US" w:eastAsia="zh-CN"/>
        </w:rPr>
        <w:t>85.3046</w:t>
      </w:r>
      <w:r>
        <w:rPr>
          <w:rFonts w:ascii="Times New Roman" w:hAnsi="Times New Roman" w:eastAsia="宋体" w:cs="Times New Roman"/>
          <w:sz w:val="24"/>
          <w:szCs w:val="24"/>
          <w:highlight w:val="none"/>
        </w:rPr>
        <w:t>%</w:t>
      </w:r>
      <w:r>
        <w:rPr>
          <w:rFonts w:hint="eastAsia"/>
          <w:sz w:val="24"/>
          <w:highlight w:val="none"/>
        </w:rPr>
        <w:t>；反对189,704股，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</w:rPr>
        <w:t>占出席会议非关联股东所持有表决权股份的</w:t>
      </w:r>
      <w:r>
        <w:rPr>
          <w:rFonts w:hint="eastAsia"/>
          <w:sz w:val="24"/>
          <w:highlight w:val="none"/>
        </w:rPr>
        <w:t>1.1165</w:t>
      </w:r>
      <w:r>
        <w:rPr>
          <w:rFonts w:ascii="Times New Roman" w:hAnsi="Times New Roman" w:eastAsia="宋体" w:cs="Times New Roman"/>
          <w:sz w:val="24"/>
          <w:szCs w:val="24"/>
          <w:highlight w:val="none"/>
        </w:rPr>
        <w:t>%</w:t>
      </w:r>
      <w:r>
        <w:rPr>
          <w:rFonts w:hint="eastAsia"/>
          <w:sz w:val="24"/>
          <w:highlight w:val="none"/>
        </w:rPr>
        <w:t>；弃权49,100股（其中，因未投票默认弃权</w:t>
      </w:r>
      <w:r>
        <w:rPr>
          <w:rFonts w:hint="eastAsia"/>
          <w:sz w:val="24"/>
          <w:highlight w:val="none"/>
          <w:lang w:val="en-US" w:eastAsia="zh-CN"/>
        </w:rPr>
        <w:t>0</w:t>
      </w:r>
      <w:r>
        <w:rPr>
          <w:rFonts w:hint="eastAsia"/>
          <w:sz w:val="24"/>
          <w:highlight w:val="none"/>
        </w:rPr>
        <w:t>股），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</w:rPr>
        <w:t>占出席会议非关联股东所持有表决权股份的</w:t>
      </w:r>
      <w:r>
        <w:rPr>
          <w:rFonts w:hint="eastAsia"/>
          <w:sz w:val="24"/>
          <w:highlight w:val="none"/>
        </w:rPr>
        <w:t>0.2890</w:t>
      </w:r>
      <w:r>
        <w:rPr>
          <w:rFonts w:ascii="Times New Roman" w:hAnsi="Times New Roman" w:eastAsia="宋体" w:cs="Times New Roman"/>
          <w:sz w:val="24"/>
          <w:szCs w:val="24"/>
          <w:highlight w:val="none"/>
        </w:rPr>
        <w:t>%</w:t>
      </w:r>
      <w:r>
        <w:rPr>
          <w:rFonts w:hint="eastAsia"/>
          <w:sz w:val="24"/>
          <w:highlight w:val="none"/>
        </w:rPr>
        <w:t>。</w:t>
      </w:r>
    </w:p>
    <w:p w14:paraId="050C1A15">
      <w:pPr>
        <w:autoSpaceDE w:val="0"/>
        <w:autoSpaceDN w:val="0"/>
        <w:adjustRightInd w:val="0"/>
        <w:spacing w:before="120" w:line="500" w:lineRule="exact"/>
        <w:ind w:firstLine="480" w:firstLineChars="200"/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</w:rPr>
        <w:t>其中，中小股东的表决</w:t>
      </w:r>
      <w:r>
        <w:rPr>
          <w:rFonts w:hint="eastAsia"/>
          <w:sz w:val="24"/>
          <w:highlight w:val="none"/>
          <w:lang w:val="en-US" w:eastAsia="zh-CN"/>
        </w:rPr>
        <w:t>情况</w:t>
      </w:r>
      <w:r>
        <w:rPr>
          <w:rFonts w:hint="eastAsia"/>
          <w:sz w:val="24"/>
          <w:highlight w:val="none"/>
        </w:rPr>
        <w:t>：同意1,371,218股，占出席本次股东会中小股东有效表决权股份总数的85.1677</w:t>
      </w:r>
      <w:r>
        <w:rPr>
          <w:rFonts w:hint="eastAsia"/>
          <w:sz w:val="24"/>
          <w:highlight w:val="none"/>
          <w:lang w:val="en-US" w:eastAsia="zh-CN"/>
        </w:rPr>
        <w:t>%</w:t>
      </w:r>
      <w:r>
        <w:rPr>
          <w:rFonts w:hint="eastAsia"/>
          <w:sz w:val="24"/>
          <w:highlight w:val="none"/>
        </w:rPr>
        <w:t>；反对189,704股，占出席本次股东会中小股东有效表决权股份总数的11.7827</w:t>
      </w:r>
      <w:r>
        <w:rPr>
          <w:rFonts w:hint="eastAsia"/>
          <w:sz w:val="24"/>
          <w:highlight w:val="none"/>
          <w:lang w:val="en-US" w:eastAsia="zh-CN"/>
        </w:rPr>
        <w:t>%</w:t>
      </w:r>
      <w:r>
        <w:rPr>
          <w:rFonts w:hint="eastAsia"/>
          <w:sz w:val="24"/>
          <w:highlight w:val="none"/>
        </w:rPr>
        <w:t>；弃权49,100股（其中，因未投票默认弃权0股），占出席本次股东会中小股东有效表决权股份总数的3.0496</w:t>
      </w:r>
      <w:r>
        <w:rPr>
          <w:rFonts w:hint="eastAsia"/>
          <w:sz w:val="24"/>
          <w:highlight w:val="none"/>
          <w:lang w:val="en-US" w:eastAsia="zh-CN"/>
        </w:rPr>
        <w:t>%</w:t>
      </w:r>
      <w:r>
        <w:rPr>
          <w:rFonts w:hint="eastAsia"/>
          <w:sz w:val="24"/>
          <w:highlight w:val="none"/>
        </w:rPr>
        <w:t>。</w:t>
      </w:r>
    </w:p>
    <w:p w14:paraId="45197F17">
      <w:pPr>
        <w:autoSpaceDE w:val="0"/>
        <w:autoSpaceDN w:val="0"/>
        <w:adjustRightInd w:val="0"/>
        <w:spacing w:before="120" w:line="500" w:lineRule="exact"/>
        <w:ind w:firstLine="480" w:firstLineChars="200"/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  <w:lang w:val="en-US" w:eastAsia="zh-CN"/>
        </w:rPr>
        <w:t>表决结果：本议案表决通过。</w:t>
      </w:r>
    </w:p>
    <w:p w14:paraId="0A80369C">
      <w:pPr>
        <w:autoSpaceDE w:val="0"/>
        <w:autoSpaceDN w:val="0"/>
        <w:adjustRightInd w:val="0"/>
        <w:spacing w:before="156" w:beforeLines="50" w:line="500" w:lineRule="exact"/>
        <w:ind w:firstLine="482" w:firstLineChars="200"/>
        <w:rPr>
          <w:rFonts w:hint="eastAsia"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三、律师出具的法律意见</w:t>
      </w:r>
    </w:p>
    <w:p w14:paraId="149E8C0E">
      <w:pPr>
        <w:autoSpaceDE w:val="0"/>
        <w:autoSpaceDN w:val="0"/>
        <w:adjustRightInd w:val="0"/>
        <w:spacing w:line="500" w:lineRule="exact"/>
        <w:ind w:firstLine="480" w:firstLineChars="200"/>
        <w:rPr>
          <w:color w:val="000000"/>
          <w:sz w:val="24"/>
        </w:rPr>
      </w:pPr>
      <w:r>
        <w:rPr>
          <w:bCs/>
          <w:kern w:val="0"/>
          <w:sz w:val="24"/>
        </w:rPr>
        <w:t>1、律师事务所名称：</w:t>
      </w:r>
      <w:r>
        <w:rPr>
          <w:rFonts w:hint="eastAsia"/>
          <w:color w:val="000000"/>
          <w:sz w:val="24"/>
        </w:rPr>
        <w:t>北京市天元律师事务所</w:t>
      </w:r>
      <w:r>
        <w:rPr>
          <w:color w:val="000000"/>
          <w:sz w:val="24"/>
        </w:rPr>
        <w:t>；</w:t>
      </w:r>
    </w:p>
    <w:p w14:paraId="083121E3">
      <w:pPr>
        <w:autoSpaceDE w:val="0"/>
        <w:autoSpaceDN w:val="0"/>
        <w:adjustRightInd w:val="0"/>
        <w:spacing w:line="500" w:lineRule="exact"/>
        <w:ind w:firstLine="480" w:firstLineChars="200"/>
        <w:rPr>
          <w:color w:val="000000"/>
          <w:sz w:val="24"/>
        </w:rPr>
      </w:pPr>
      <w:r>
        <w:rPr>
          <w:color w:val="000000"/>
          <w:sz w:val="24"/>
        </w:rPr>
        <w:t>2、见证律师姓名：</w:t>
      </w:r>
      <w:r>
        <w:rPr>
          <w:rFonts w:hint="eastAsia"/>
          <w:color w:val="000000"/>
          <w:sz w:val="24"/>
        </w:rPr>
        <w:t>王韶华、陈魏</w:t>
      </w:r>
      <w:r>
        <w:rPr>
          <w:color w:val="000000"/>
          <w:sz w:val="24"/>
        </w:rPr>
        <w:t>；</w:t>
      </w:r>
    </w:p>
    <w:p w14:paraId="68F5E575">
      <w:pPr>
        <w:autoSpaceDE w:val="0"/>
        <w:autoSpaceDN w:val="0"/>
        <w:adjustRightInd w:val="0"/>
        <w:spacing w:line="500" w:lineRule="exact"/>
        <w:ind w:firstLine="480" w:firstLineChars="200"/>
        <w:rPr>
          <w:rFonts w:hint="eastAsia" w:ascii="宋体" w:hAnsi="宋体" w:cs="宋体"/>
          <w:bCs/>
          <w:kern w:val="0"/>
          <w:sz w:val="24"/>
        </w:rPr>
      </w:pPr>
      <w:r>
        <w:rPr>
          <w:color w:val="000000"/>
          <w:sz w:val="24"/>
        </w:rPr>
        <w:t>3、</w:t>
      </w:r>
      <w:r>
        <w:rPr>
          <w:rFonts w:hint="eastAsia" w:ascii="宋体" w:hAnsi="宋体"/>
          <w:color w:val="000000"/>
          <w:sz w:val="24"/>
        </w:rPr>
        <w:t>法律意见：本所律师认为，</w:t>
      </w:r>
      <w:r>
        <w:rPr>
          <w:rFonts w:ascii="Times New Roman" w:hAnsi="Times New Roman"/>
          <w:sz w:val="24"/>
          <w:szCs w:val="21"/>
        </w:rPr>
        <w:t>公司本次股东大会的召集、召开程序符合法律、行政法规、《股东会规则》和《公司章程》的规定；出席本次股东大会现场会议的人员资格及召集人资格合法有效；本次股东大会的表决程序、表决结果合法有效。</w:t>
      </w:r>
    </w:p>
    <w:p w14:paraId="320CEF32">
      <w:pPr>
        <w:autoSpaceDE w:val="0"/>
        <w:autoSpaceDN w:val="0"/>
        <w:adjustRightInd w:val="0"/>
        <w:spacing w:before="156" w:beforeLines="50" w:line="500" w:lineRule="exact"/>
        <w:ind w:firstLine="482" w:firstLineChars="200"/>
        <w:rPr>
          <w:rFonts w:hint="eastAsia"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四、备查文件</w:t>
      </w:r>
    </w:p>
    <w:p w14:paraId="0CBBB027">
      <w:pPr>
        <w:autoSpaceDE w:val="0"/>
        <w:autoSpaceDN w:val="0"/>
        <w:adjustRightInd w:val="0"/>
        <w:spacing w:line="500" w:lineRule="exact"/>
        <w:ind w:firstLine="480" w:firstLineChars="200"/>
        <w:rPr>
          <w:kern w:val="0"/>
          <w:sz w:val="24"/>
        </w:rPr>
      </w:pPr>
      <w:r>
        <w:rPr>
          <w:color w:val="000000"/>
          <w:sz w:val="24"/>
        </w:rPr>
        <w:t>1</w:t>
      </w:r>
      <w:r>
        <w:rPr>
          <w:rFonts w:hint="eastAsia"/>
          <w:color w:val="000000"/>
          <w:sz w:val="24"/>
        </w:rPr>
        <w:t>、</w:t>
      </w:r>
      <w:r>
        <w:rPr>
          <w:sz w:val="24"/>
        </w:rPr>
        <w:t>冠昊生物科技股份有限</w:t>
      </w:r>
      <w:r>
        <w:rPr>
          <w:kern w:val="0"/>
          <w:sz w:val="24"/>
        </w:rPr>
        <w:t>公司</w:t>
      </w:r>
      <w:r>
        <w:rPr>
          <w:rFonts w:hint="eastAsia"/>
          <w:kern w:val="0"/>
          <w:sz w:val="24"/>
        </w:rPr>
        <w:t>2025年第二次临时股东大会</w:t>
      </w:r>
      <w:r>
        <w:rPr>
          <w:kern w:val="0"/>
          <w:sz w:val="24"/>
        </w:rPr>
        <w:t>决议；</w:t>
      </w:r>
    </w:p>
    <w:p w14:paraId="2B8CD889">
      <w:pPr>
        <w:autoSpaceDE w:val="0"/>
        <w:autoSpaceDN w:val="0"/>
        <w:adjustRightInd w:val="0"/>
        <w:spacing w:line="500" w:lineRule="exact"/>
        <w:ind w:firstLine="480" w:firstLineChars="200"/>
        <w:rPr>
          <w:rFonts w:hint="eastAsia" w:ascii="宋体" w:hAnsi="宋体"/>
          <w:color w:val="000000"/>
          <w:sz w:val="24"/>
        </w:rPr>
      </w:pPr>
      <w:r>
        <w:rPr>
          <w:color w:val="000000"/>
          <w:sz w:val="24"/>
        </w:rPr>
        <w:t>2</w:t>
      </w:r>
      <w:r>
        <w:rPr>
          <w:rFonts w:hint="eastAsia"/>
          <w:color w:val="000000"/>
          <w:sz w:val="24"/>
        </w:rPr>
        <w:t>、北京市天元律师事务所出具</w:t>
      </w:r>
      <w:r>
        <w:rPr>
          <w:rFonts w:hint="eastAsia" w:ascii="宋体" w:hAnsi="宋体"/>
          <w:color w:val="000000"/>
          <w:sz w:val="24"/>
        </w:rPr>
        <w:t>的《</w:t>
      </w:r>
      <w:r>
        <w:rPr>
          <w:rFonts w:hint="eastAsia"/>
          <w:color w:val="000000"/>
          <w:sz w:val="24"/>
        </w:rPr>
        <w:t>北京市天元律师事务所</w:t>
      </w:r>
      <w:r>
        <w:rPr>
          <w:rFonts w:hint="eastAsia" w:ascii="宋体" w:hAnsi="宋体"/>
          <w:color w:val="000000"/>
          <w:sz w:val="24"/>
        </w:rPr>
        <w:t>关于冠昊生物科技股份有限公司</w:t>
      </w:r>
      <w:r>
        <w:rPr>
          <w:color w:val="000000"/>
          <w:sz w:val="24"/>
        </w:rPr>
        <w:t>20</w:t>
      </w:r>
      <w:r>
        <w:rPr>
          <w:rFonts w:hint="eastAsia"/>
          <w:color w:val="000000"/>
          <w:sz w:val="24"/>
        </w:rPr>
        <w:t>25年第二次临时股东大会</w:t>
      </w:r>
      <w:r>
        <w:rPr>
          <w:rFonts w:hint="eastAsia" w:ascii="宋体" w:hAnsi="宋体"/>
          <w:color w:val="000000"/>
          <w:sz w:val="24"/>
        </w:rPr>
        <w:t>的法律意见》</w:t>
      </w:r>
      <w:r>
        <w:rPr>
          <w:rFonts w:hint="eastAsia" w:ascii="宋体" w:hAnsi="宋体"/>
          <w:color w:val="000000"/>
          <w:sz w:val="24"/>
          <w:lang w:eastAsia="zh-CN"/>
        </w:rPr>
        <w:t>。</w:t>
      </w:r>
    </w:p>
    <w:p w14:paraId="4A73B6BA">
      <w:pPr>
        <w:autoSpaceDE w:val="0"/>
        <w:autoSpaceDN w:val="0"/>
        <w:adjustRightInd w:val="0"/>
        <w:spacing w:before="156" w:beforeLines="50" w:line="500" w:lineRule="exact"/>
        <w:ind w:firstLine="480" w:firstLineChars="20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特此公告。</w:t>
      </w:r>
    </w:p>
    <w:p w14:paraId="0E9843D0">
      <w:pPr>
        <w:spacing w:line="500" w:lineRule="exact"/>
        <w:ind w:firstLine="4320" w:firstLineChars="1800"/>
        <w:jc w:val="right"/>
        <w:rPr>
          <w:rFonts w:ascii="宋体" w:hAnsi="宋体"/>
          <w:color w:val="000000"/>
          <w:sz w:val="24"/>
        </w:rPr>
      </w:pPr>
    </w:p>
    <w:p w14:paraId="2517F2AD">
      <w:pPr>
        <w:spacing w:line="500" w:lineRule="exact"/>
        <w:ind w:firstLine="4320" w:firstLineChars="180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冠昊生物科技股份有限公司董事会</w:t>
      </w:r>
    </w:p>
    <w:p w14:paraId="3336EF6D">
      <w:pPr>
        <w:wordWrap w:val="0"/>
        <w:spacing w:line="500" w:lineRule="exact"/>
        <w:jc w:val="right"/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025</w:t>
      </w:r>
      <w:r>
        <w:rPr>
          <w:sz w:val="24"/>
        </w:rPr>
        <w:t>年</w:t>
      </w:r>
      <w:r>
        <w:rPr>
          <w:rFonts w:hint="eastAsia"/>
          <w:sz w:val="24"/>
        </w:rPr>
        <w:t>6</w:t>
      </w:r>
      <w:r>
        <w:rPr>
          <w:sz w:val="24"/>
        </w:rPr>
        <w:t>月</w:t>
      </w:r>
      <w:r>
        <w:rPr>
          <w:rFonts w:hint="eastAsia"/>
          <w:sz w:val="24"/>
        </w:rPr>
        <w:t>2</w:t>
      </w:r>
      <w:r>
        <w:rPr>
          <w:rFonts w:hint="eastAsia"/>
          <w:sz w:val="24"/>
          <w:lang w:val="en-US" w:eastAsia="zh-CN"/>
        </w:rPr>
        <w:t>4</w:t>
      </w:r>
      <w:r>
        <w:rPr>
          <w:sz w:val="24"/>
        </w:rPr>
        <w:t>日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</w:t>
      </w:r>
    </w:p>
    <w:sectPr>
      <w:footerReference r:id="rId3" w:type="even"/>
      <w:pgSz w:w="11906" w:h="16838"/>
      <w:pgMar w:top="1440" w:right="1800" w:bottom="1440" w:left="16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BCCB93">
    <w:pPr>
      <w:pStyle w:val="5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3</w:t>
    </w:r>
    <w:r>
      <w:fldChar w:fldCharType="end"/>
    </w:r>
  </w:p>
  <w:p w14:paraId="26F81A21"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chineseCountingThousand"/>
      <w:lvlText w:val="（%1）"/>
      <w:lvlJc w:val="left"/>
      <w:pPr>
        <w:tabs>
          <w:tab w:val="left" w:pos="426"/>
        </w:tabs>
        <w:ind w:left="721" w:hanging="295"/>
      </w:pPr>
      <w:rPr>
        <w:rFonts w:hint="default"/>
        <w:b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786"/>
        </w:tabs>
        <w:ind w:left="786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06"/>
        </w:tabs>
        <w:ind w:left="1206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26"/>
        </w:tabs>
        <w:ind w:left="1626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046"/>
        </w:tabs>
        <w:ind w:left="2046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466"/>
        </w:tabs>
        <w:ind w:left="2466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2886"/>
        </w:tabs>
        <w:ind w:left="2886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06"/>
        </w:tabs>
        <w:ind w:left="3306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26"/>
        </w:tabs>
        <w:ind w:left="3726" w:hanging="420"/>
      </w:pPr>
      <w:rPr>
        <w:rFonts w:hint="eastAsia"/>
      </w:rPr>
    </w:lvl>
  </w:abstractNum>
  <w:abstractNum w:abstractNumId="1">
    <w:nsid w:val="59DDA1D6"/>
    <w:multiLevelType w:val="singleLevel"/>
    <w:tmpl w:val="59DDA1D6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NiMzQ4MDZlNWYwNzEwODVkMjAzNjIxM2M2NjM5N2IifQ=="/>
  </w:docVars>
  <w:rsids>
    <w:rsidRoot w:val="00172A27"/>
    <w:rsid w:val="000073D0"/>
    <w:rsid w:val="00012FF3"/>
    <w:rsid w:val="00054785"/>
    <w:rsid w:val="00062445"/>
    <w:rsid w:val="00073D47"/>
    <w:rsid w:val="00087FCA"/>
    <w:rsid w:val="00090C8D"/>
    <w:rsid w:val="00091EDA"/>
    <w:rsid w:val="000B2711"/>
    <w:rsid w:val="000B2EAF"/>
    <w:rsid w:val="000B6196"/>
    <w:rsid w:val="000C5600"/>
    <w:rsid w:val="000C7DB5"/>
    <w:rsid w:val="000D4D22"/>
    <w:rsid w:val="000D6934"/>
    <w:rsid w:val="000E1CAA"/>
    <w:rsid w:val="000F5BE6"/>
    <w:rsid w:val="000F6A33"/>
    <w:rsid w:val="00100294"/>
    <w:rsid w:val="00102577"/>
    <w:rsid w:val="00117DAD"/>
    <w:rsid w:val="0012062B"/>
    <w:rsid w:val="00122872"/>
    <w:rsid w:val="001318A9"/>
    <w:rsid w:val="00137FF9"/>
    <w:rsid w:val="00140D0D"/>
    <w:rsid w:val="0014787B"/>
    <w:rsid w:val="0015294C"/>
    <w:rsid w:val="001579DF"/>
    <w:rsid w:val="00164F34"/>
    <w:rsid w:val="00172A27"/>
    <w:rsid w:val="0019535B"/>
    <w:rsid w:val="00196E16"/>
    <w:rsid w:val="001A4777"/>
    <w:rsid w:val="001B1862"/>
    <w:rsid w:val="001B279B"/>
    <w:rsid w:val="001B2AEE"/>
    <w:rsid w:val="001D2E00"/>
    <w:rsid w:val="001D6E90"/>
    <w:rsid w:val="001E22DE"/>
    <w:rsid w:val="001E4356"/>
    <w:rsid w:val="001E7087"/>
    <w:rsid w:val="001E733A"/>
    <w:rsid w:val="001F1172"/>
    <w:rsid w:val="001F1527"/>
    <w:rsid w:val="001F27CC"/>
    <w:rsid w:val="001F3EF9"/>
    <w:rsid w:val="001F5944"/>
    <w:rsid w:val="001F59F8"/>
    <w:rsid w:val="00200327"/>
    <w:rsid w:val="00216007"/>
    <w:rsid w:val="00216986"/>
    <w:rsid w:val="00220468"/>
    <w:rsid w:val="00232ACE"/>
    <w:rsid w:val="002508C6"/>
    <w:rsid w:val="00262043"/>
    <w:rsid w:val="002631B1"/>
    <w:rsid w:val="0028238D"/>
    <w:rsid w:val="00287C68"/>
    <w:rsid w:val="002A0298"/>
    <w:rsid w:val="002A413F"/>
    <w:rsid w:val="002A644A"/>
    <w:rsid w:val="002A6584"/>
    <w:rsid w:val="002B1DBA"/>
    <w:rsid w:val="002B3ABE"/>
    <w:rsid w:val="002C07EB"/>
    <w:rsid w:val="002C4B01"/>
    <w:rsid w:val="002D015F"/>
    <w:rsid w:val="002D47F7"/>
    <w:rsid w:val="002E3DAE"/>
    <w:rsid w:val="002F1E09"/>
    <w:rsid w:val="002F56F3"/>
    <w:rsid w:val="002F77F1"/>
    <w:rsid w:val="00310672"/>
    <w:rsid w:val="00324873"/>
    <w:rsid w:val="003336B5"/>
    <w:rsid w:val="0033795E"/>
    <w:rsid w:val="00343DA9"/>
    <w:rsid w:val="00343E60"/>
    <w:rsid w:val="00347AE8"/>
    <w:rsid w:val="003548F8"/>
    <w:rsid w:val="0035498C"/>
    <w:rsid w:val="00360588"/>
    <w:rsid w:val="003663AA"/>
    <w:rsid w:val="00374DBE"/>
    <w:rsid w:val="00390B08"/>
    <w:rsid w:val="00392E3C"/>
    <w:rsid w:val="00395F97"/>
    <w:rsid w:val="003A12AF"/>
    <w:rsid w:val="003A7D9B"/>
    <w:rsid w:val="003B0CCD"/>
    <w:rsid w:val="003D26F7"/>
    <w:rsid w:val="003D3E4D"/>
    <w:rsid w:val="003D6AAC"/>
    <w:rsid w:val="003D78BB"/>
    <w:rsid w:val="003F41F3"/>
    <w:rsid w:val="00401CC5"/>
    <w:rsid w:val="00414ED0"/>
    <w:rsid w:val="00415C6E"/>
    <w:rsid w:val="004166E4"/>
    <w:rsid w:val="00425919"/>
    <w:rsid w:val="0043433F"/>
    <w:rsid w:val="004372CB"/>
    <w:rsid w:val="0043741C"/>
    <w:rsid w:val="00446CE9"/>
    <w:rsid w:val="00447030"/>
    <w:rsid w:val="00450177"/>
    <w:rsid w:val="00464EE8"/>
    <w:rsid w:val="00470183"/>
    <w:rsid w:val="00471ADC"/>
    <w:rsid w:val="00472D8F"/>
    <w:rsid w:val="00483E1C"/>
    <w:rsid w:val="00484FD3"/>
    <w:rsid w:val="00492A2A"/>
    <w:rsid w:val="00492C19"/>
    <w:rsid w:val="004938F3"/>
    <w:rsid w:val="004A4823"/>
    <w:rsid w:val="004B1C7E"/>
    <w:rsid w:val="004B5622"/>
    <w:rsid w:val="004C48AE"/>
    <w:rsid w:val="004E1942"/>
    <w:rsid w:val="004E5CA9"/>
    <w:rsid w:val="004F3AC1"/>
    <w:rsid w:val="004F56AD"/>
    <w:rsid w:val="005054D6"/>
    <w:rsid w:val="0051540F"/>
    <w:rsid w:val="0052220B"/>
    <w:rsid w:val="00526D53"/>
    <w:rsid w:val="00527C50"/>
    <w:rsid w:val="00531AD8"/>
    <w:rsid w:val="005438EB"/>
    <w:rsid w:val="00544D0A"/>
    <w:rsid w:val="00546952"/>
    <w:rsid w:val="00546EBC"/>
    <w:rsid w:val="00547560"/>
    <w:rsid w:val="005531EB"/>
    <w:rsid w:val="0055390D"/>
    <w:rsid w:val="00556842"/>
    <w:rsid w:val="0056699E"/>
    <w:rsid w:val="00580730"/>
    <w:rsid w:val="00584C8B"/>
    <w:rsid w:val="005918D3"/>
    <w:rsid w:val="005A23B2"/>
    <w:rsid w:val="005B44B9"/>
    <w:rsid w:val="005C3ECC"/>
    <w:rsid w:val="005C5DB3"/>
    <w:rsid w:val="005D5842"/>
    <w:rsid w:val="005D7769"/>
    <w:rsid w:val="005E01EA"/>
    <w:rsid w:val="005E29CB"/>
    <w:rsid w:val="005E7EDF"/>
    <w:rsid w:val="0060629A"/>
    <w:rsid w:val="00606F25"/>
    <w:rsid w:val="00612BA1"/>
    <w:rsid w:val="00613F06"/>
    <w:rsid w:val="006179A8"/>
    <w:rsid w:val="0062337A"/>
    <w:rsid w:val="00623B54"/>
    <w:rsid w:val="00632F4A"/>
    <w:rsid w:val="00640E8C"/>
    <w:rsid w:val="00655236"/>
    <w:rsid w:val="00672019"/>
    <w:rsid w:val="00685695"/>
    <w:rsid w:val="006938DF"/>
    <w:rsid w:val="006A18B2"/>
    <w:rsid w:val="006B3753"/>
    <w:rsid w:val="006B7BF9"/>
    <w:rsid w:val="006C302F"/>
    <w:rsid w:val="006D1D3C"/>
    <w:rsid w:val="006D1E74"/>
    <w:rsid w:val="006D7914"/>
    <w:rsid w:val="006F645A"/>
    <w:rsid w:val="00702E23"/>
    <w:rsid w:val="00706C13"/>
    <w:rsid w:val="0071078E"/>
    <w:rsid w:val="00716296"/>
    <w:rsid w:val="007240C1"/>
    <w:rsid w:val="0073040F"/>
    <w:rsid w:val="00732A02"/>
    <w:rsid w:val="00734159"/>
    <w:rsid w:val="00735E1C"/>
    <w:rsid w:val="0073680F"/>
    <w:rsid w:val="00736BCD"/>
    <w:rsid w:val="00763972"/>
    <w:rsid w:val="007768C2"/>
    <w:rsid w:val="00785F2F"/>
    <w:rsid w:val="00786C8E"/>
    <w:rsid w:val="007876FC"/>
    <w:rsid w:val="0079172F"/>
    <w:rsid w:val="007B101B"/>
    <w:rsid w:val="007B108A"/>
    <w:rsid w:val="007B14F6"/>
    <w:rsid w:val="007C009E"/>
    <w:rsid w:val="007C2A6C"/>
    <w:rsid w:val="007C5A42"/>
    <w:rsid w:val="007D0F52"/>
    <w:rsid w:val="007D2E55"/>
    <w:rsid w:val="007D36B5"/>
    <w:rsid w:val="007E1CA6"/>
    <w:rsid w:val="007E44AF"/>
    <w:rsid w:val="007F2297"/>
    <w:rsid w:val="007F27A9"/>
    <w:rsid w:val="007F64F4"/>
    <w:rsid w:val="007F6C4F"/>
    <w:rsid w:val="008015E0"/>
    <w:rsid w:val="00802857"/>
    <w:rsid w:val="008161D1"/>
    <w:rsid w:val="0081701F"/>
    <w:rsid w:val="00817416"/>
    <w:rsid w:val="00822526"/>
    <w:rsid w:val="00830200"/>
    <w:rsid w:val="00830514"/>
    <w:rsid w:val="008324F0"/>
    <w:rsid w:val="008444F2"/>
    <w:rsid w:val="008710EC"/>
    <w:rsid w:val="00875B05"/>
    <w:rsid w:val="00876C3A"/>
    <w:rsid w:val="008802E1"/>
    <w:rsid w:val="00880628"/>
    <w:rsid w:val="008832DF"/>
    <w:rsid w:val="00884AAD"/>
    <w:rsid w:val="00885FFF"/>
    <w:rsid w:val="008A474C"/>
    <w:rsid w:val="008B1FAE"/>
    <w:rsid w:val="008C41D2"/>
    <w:rsid w:val="008E6DC5"/>
    <w:rsid w:val="00900221"/>
    <w:rsid w:val="00902772"/>
    <w:rsid w:val="00907CDD"/>
    <w:rsid w:val="00910BCA"/>
    <w:rsid w:val="00910E28"/>
    <w:rsid w:val="00921AA1"/>
    <w:rsid w:val="00927CC0"/>
    <w:rsid w:val="00930694"/>
    <w:rsid w:val="00935D0C"/>
    <w:rsid w:val="009558DE"/>
    <w:rsid w:val="009624F2"/>
    <w:rsid w:val="00963AC0"/>
    <w:rsid w:val="00972646"/>
    <w:rsid w:val="0097550A"/>
    <w:rsid w:val="0097560E"/>
    <w:rsid w:val="009830D9"/>
    <w:rsid w:val="00995EBF"/>
    <w:rsid w:val="009A1E97"/>
    <w:rsid w:val="009A2581"/>
    <w:rsid w:val="009B4308"/>
    <w:rsid w:val="009C6EE7"/>
    <w:rsid w:val="009D0FFC"/>
    <w:rsid w:val="009D2AD1"/>
    <w:rsid w:val="009F20E4"/>
    <w:rsid w:val="009F4145"/>
    <w:rsid w:val="009F5F3C"/>
    <w:rsid w:val="009F7176"/>
    <w:rsid w:val="00A076D9"/>
    <w:rsid w:val="00A21F8D"/>
    <w:rsid w:val="00A407E1"/>
    <w:rsid w:val="00A66D11"/>
    <w:rsid w:val="00A747F6"/>
    <w:rsid w:val="00A875D9"/>
    <w:rsid w:val="00A877FC"/>
    <w:rsid w:val="00AA2BB6"/>
    <w:rsid w:val="00AA3AFF"/>
    <w:rsid w:val="00AA4260"/>
    <w:rsid w:val="00AB0841"/>
    <w:rsid w:val="00AB6691"/>
    <w:rsid w:val="00AC7FEA"/>
    <w:rsid w:val="00AD7436"/>
    <w:rsid w:val="00AE6000"/>
    <w:rsid w:val="00AF2BB6"/>
    <w:rsid w:val="00AF3300"/>
    <w:rsid w:val="00B00313"/>
    <w:rsid w:val="00B02568"/>
    <w:rsid w:val="00B13050"/>
    <w:rsid w:val="00B14758"/>
    <w:rsid w:val="00B203B8"/>
    <w:rsid w:val="00B345C9"/>
    <w:rsid w:val="00B407DF"/>
    <w:rsid w:val="00B41A7A"/>
    <w:rsid w:val="00B473F7"/>
    <w:rsid w:val="00B4780B"/>
    <w:rsid w:val="00B6640E"/>
    <w:rsid w:val="00B701A3"/>
    <w:rsid w:val="00B77437"/>
    <w:rsid w:val="00B821C6"/>
    <w:rsid w:val="00B83A6D"/>
    <w:rsid w:val="00BA48B3"/>
    <w:rsid w:val="00BB240A"/>
    <w:rsid w:val="00BB5DC8"/>
    <w:rsid w:val="00BC5699"/>
    <w:rsid w:val="00BD064A"/>
    <w:rsid w:val="00BD188C"/>
    <w:rsid w:val="00C018B8"/>
    <w:rsid w:val="00C138DB"/>
    <w:rsid w:val="00C261E3"/>
    <w:rsid w:val="00C26B6C"/>
    <w:rsid w:val="00C40ACD"/>
    <w:rsid w:val="00C40F91"/>
    <w:rsid w:val="00C42B03"/>
    <w:rsid w:val="00C50B6B"/>
    <w:rsid w:val="00C60419"/>
    <w:rsid w:val="00C61CC4"/>
    <w:rsid w:val="00C61D26"/>
    <w:rsid w:val="00C7011B"/>
    <w:rsid w:val="00C72376"/>
    <w:rsid w:val="00C970A3"/>
    <w:rsid w:val="00CA69D7"/>
    <w:rsid w:val="00CB38E6"/>
    <w:rsid w:val="00CC0BED"/>
    <w:rsid w:val="00CC5787"/>
    <w:rsid w:val="00CC6901"/>
    <w:rsid w:val="00CC6CBD"/>
    <w:rsid w:val="00CE03BD"/>
    <w:rsid w:val="00CF17A7"/>
    <w:rsid w:val="00D01342"/>
    <w:rsid w:val="00D20EF3"/>
    <w:rsid w:val="00D20FAC"/>
    <w:rsid w:val="00D2792C"/>
    <w:rsid w:val="00D30117"/>
    <w:rsid w:val="00D32B34"/>
    <w:rsid w:val="00D82CBF"/>
    <w:rsid w:val="00D836A7"/>
    <w:rsid w:val="00D86516"/>
    <w:rsid w:val="00D96084"/>
    <w:rsid w:val="00DA4126"/>
    <w:rsid w:val="00DB2D24"/>
    <w:rsid w:val="00DB34CF"/>
    <w:rsid w:val="00DD0FDC"/>
    <w:rsid w:val="00DE22E7"/>
    <w:rsid w:val="00DE283E"/>
    <w:rsid w:val="00DF495D"/>
    <w:rsid w:val="00E0654A"/>
    <w:rsid w:val="00E110C9"/>
    <w:rsid w:val="00E211BA"/>
    <w:rsid w:val="00E22586"/>
    <w:rsid w:val="00E36D3B"/>
    <w:rsid w:val="00E37348"/>
    <w:rsid w:val="00E453DA"/>
    <w:rsid w:val="00E45BC4"/>
    <w:rsid w:val="00E461D8"/>
    <w:rsid w:val="00E53077"/>
    <w:rsid w:val="00E56C37"/>
    <w:rsid w:val="00E60A54"/>
    <w:rsid w:val="00E60EA2"/>
    <w:rsid w:val="00E61685"/>
    <w:rsid w:val="00E74A61"/>
    <w:rsid w:val="00E762F4"/>
    <w:rsid w:val="00E822EE"/>
    <w:rsid w:val="00E958A6"/>
    <w:rsid w:val="00E9744D"/>
    <w:rsid w:val="00EB2485"/>
    <w:rsid w:val="00EB77D4"/>
    <w:rsid w:val="00EC07D7"/>
    <w:rsid w:val="00EC1015"/>
    <w:rsid w:val="00ED3ABA"/>
    <w:rsid w:val="00ED5150"/>
    <w:rsid w:val="00EE2995"/>
    <w:rsid w:val="00EE4378"/>
    <w:rsid w:val="00EE6BE5"/>
    <w:rsid w:val="00EF44AD"/>
    <w:rsid w:val="00F022C4"/>
    <w:rsid w:val="00F1390B"/>
    <w:rsid w:val="00F245B6"/>
    <w:rsid w:val="00F270BC"/>
    <w:rsid w:val="00F35B8F"/>
    <w:rsid w:val="00F4588F"/>
    <w:rsid w:val="00F47E09"/>
    <w:rsid w:val="00F50398"/>
    <w:rsid w:val="00F53B3E"/>
    <w:rsid w:val="00F73A3E"/>
    <w:rsid w:val="00F806B5"/>
    <w:rsid w:val="00F838F1"/>
    <w:rsid w:val="00FA11E1"/>
    <w:rsid w:val="00FA69A5"/>
    <w:rsid w:val="00FD2198"/>
    <w:rsid w:val="00FD423A"/>
    <w:rsid w:val="00FF06DE"/>
    <w:rsid w:val="00FF549D"/>
    <w:rsid w:val="0102223F"/>
    <w:rsid w:val="01080AC7"/>
    <w:rsid w:val="01213882"/>
    <w:rsid w:val="02A46C65"/>
    <w:rsid w:val="044E0E32"/>
    <w:rsid w:val="050F5F09"/>
    <w:rsid w:val="055944FF"/>
    <w:rsid w:val="0676432F"/>
    <w:rsid w:val="06BC6527"/>
    <w:rsid w:val="073360BD"/>
    <w:rsid w:val="073A5F36"/>
    <w:rsid w:val="07541C4C"/>
    <w:rsid w:val="07BB2C35"/>
    <w:rsid w:val="08B61FC5"/>
    <w:rsid w:val="09842C00"/>
    <w:rsid w:val="0D291E65"/>
    <w:rsid w:val="0DB34F8D"/>
    <w:rsid w:val="0EC817E1"/>
    <w:rsid w:val="0F1113DA"/>
    <w:rsid w:val="0FF562C7"/>
    <w:rsid w:val="10123CD0"/>
    <w:rsid w:val="11447E23"/>
    <w:rsid w:val="11732B75"/>
    <w:rsid w:val="11E27642"/>
    <w:rsid w:val="11E678AF"/>
    <w:rsid w:val="12C52FEE"/>
    <w:rsid w:val="12E915E1"/>
    <w:rsid w:val="138F28CD"/>
    <w:rsid w:val="13F76AD5"/>
    <w:rsid w:val="142A2CEA"/>
    <w:rsid w:val="14303089"/>
    <w:rsid w:val="151579E8"/>
    <w:rsid w:val="16442A9B"/>
    <w:rsid w:val="17263F76"/>
    <w:rsid w:val="17EC12DC"/>
    <w:rsid w:val="18610C0C"/>
    <w:rsid w:val="1A684009"/>
    <w:rsid w:val="1AD87250"/>
    <w:rsid w:val="1AE9473C"/>
    <w:rsid w:val="1AEE25CF"/>
    <w:rsid w:val="1AFC2424"/>
    <w:rsid w:val="1B466546"/>
    <w:rsid w:val="1DC56584"/>
    <w:rsid w:val="1E8C6387"/>
    <w:rsid w:val="1F1D16D5"/>
    <w:rsid w:val="1FF73CD4"/>
    <w:rsid w:val="200C6E63"/>
    <w:rsid w:val="204D65C9"/>
    <w:rsid w:val="20CE44ED"/>
    <w:rsid w:val="216B7A73"/>
    <w:rsid w:val="21DF5E77"/>
    <w:rsid w:val="22BF2FFD"/>
    <w:rsid w:val="23ED22FD"/>
    <w:rsid w:val="271C2CB3"/>
    <w:rsid w:val="27810D75"/>
    <w:rsid w:val="27BB1A8B"/>
    <w:rsid w:val="28EA6ACC"/>
    <w:rsid w:val="2A2446B6"/>
    <w:rsid w:val="2A407907"/>
    <w:rsid w:val="2B597A92"/>
    <w:rsid w:val="2BE95689"/>
    <w:rsid w:val="2C5B5DEF"/>
    <w:rsid w:val="2DBB2801"/>
    <w:rsid w:val="2DCF48A3"/>
    <w:rsid w:val="2E1A575D"/>
    <w:rsid w:val="2E2F04CD"/>
    <w:rsid w:val="2E8B5223"/>
    <w:rsid w:val="2FFD1A1D"/>
    <w:rsid w:val="31440D43"/>
    <w:rsid w:val="325B4596"/>
    <w:rsid w:val="326A47D9"/>
    <w:rsid w:val="32A50316"/>
    <w:rsid w:val="32C06B7A"/>
    <w:rsid w:val="32C33AC4"/>
    <w:rsid w:val="338B0EAB"/>
    <w:rsid w:val="339055C7"/>
    <w:rsid w:val="344C23E9"/>
    <w:rsid w:val="37100159"/>
    <w:rsid w:val="376676BC"/>
    <w:rsid w:val="38784BC2"/>
    <w:rsid w:val="38C56EEE"/>
    <w:rsid w:val="396107B8"/>
    <w:rsid w:val="3CF54914"/>
    <w:rsid w:val="3EB4105F"/>
    <w:rsid w:val="3F4C3832"/>
    <w:rsid w:val="3F831F63"/>
    <w:rsid w:val="3F9133A5"/>
    <w:rsid w:val="3FF676AC"/>
    <w:rsid w:val="402E38DA"/>
    <w:rsid w:val="44C92102"/>
    <w:rsid w:val="44D211C1"/>
    <w:rsid w:val="456A0921"/>
    <w:rsid w:val="45DE130F"/>
    <w:rsid w:val="478E535A"/>
    <w:rsid w:val="49363E8D"/>
    <w:rsid w:val="4980029E"/>
    <w:rsid w:val="49C540D4"/>
    <w:rsid w:val="4AE56B52"/>
    <w:rsid w:val="4B43585C"/>
    <w:rsid w:val="4D8A3E94"/>
    <w:rsid w:val="4EC70B92"/>
    <w:rsid w:val="4F495A4B"/>
    <w:rsid w:val="51405228"/>
    <w:rsid w:val="525D64A2"/>
    <w:rsid w:val="53500579"/>
    <w:rsid w:val="53D1635A"/>
    <w:rsid w:val="53F266B1"/>
    <w:rsid w:val="54E86BD9"/>
    <w:rsid w:val="56742C23"/>
    <w:rsid w:val="56B56AEB"/>
    <w:rsid w:val="58AB00B1"/>
    <w:rsid w:val="58EC6B10"/>
    <w:rsid w:val="59FE7205"/>
    <w:rsid w:val="5AAA7417"/>
    <w:rsid w:val="5B3047EB"/>
    <w:rsid w:val="5C365E72"/>
    <w:rsid w:val="5C543ACA"/>
    <w:rsid w:val="5D7F1EA8"/>
    <w:rsid w:val="5E5A6F58"/>
    <w:rsid w:val="5E5B5264"/>
    <w:rsid w:val="5F4A7013"/>
    <w:rsid w:val="5F4E291D"/>
    <w:rsid w:val="5FA401C7"/>
    <w:rsid w:val="60E847DE"/>
    <w:rsid w:val="633A3BD0"/>
    <w:rsid w:val="64401D90"/>
    <w:rsid w:val="658A2426"/>
    <w:rsid w:val="66952B51"/>
    <w:rsid w:val="67D30A95"/>
    <w:rsid w:val="68420E31"/>
    <w:rsid w:val="688A3E41"/>
    <w:rsid w:val="68B364AD"/>
    <w:rsid w:val="69C062DB"/>
    <w:rsid w:val="6A9A5F63"/>
    <w:rsid w:val="6ACF599D"/>
    <w:rsid w:val="6B1501F2"/>
    <w:rsid w:val="6B722799"/>
    <w:rsid w:val="6C9360FF"/>
    <w:rsid w:val="6E97165E"/>
    <w:rsid w:val="6EED06E9"/>
    <w:rsid w:val="6EF27804"/>
    <w:rsid w:val="6F407EF4"/>
    <w:rsid w:val="6F701DAE"/>
    <w:rsid w:val="7069263C"/>
    <w:rsid w:val="709C6C1D"/>
    <w:rsid w:val="717D2929"/>
    <w:rsid w:val="72135D18"/>
    <w:rsid w:val="754461E9"/>
    <w:rsid w:val="77C62532"/>
    <w:rsid w:val="789144D1"/>
    <w:rsid w:val="78CA6E9F"/>
    <w:rsid w:val="7B02527C"/>
    <w:rsid w:val="7C2F6DB5"/>
    <w:rsid w:val="7EB615FF"/>
    <w:rsid w:val="7FBB305D"/>
    <w:rsid w:val="7FF27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qFormat/>
    <w:uiPriority w:val="0"/>
    <w:pPr>
      <w:jc w:val="left"/>
    </w:pPr>
  </w:style>
  <w:style w:type="paragraph" w:styleId="3">
    <w:name w:val="Body Text Indent"/>
    <w:basedOn w:val="1"/>
    <w:autoRedefine/>
    <w:qFormat/>
    <w:uiPriority w:val="0"/>
    <w:pPr>
      <w:ind w:firstLine="560" w:firstLineChars="200"/>
    </w:pPr>
    <w:rPr>
      <w:sz w:val="28"/>
    </w:rPr>
  </w:style>
  <w:style w:type="paragraph" w:styleId="4">
    <w:name w:val="Balloon Text"/>
    <w:basedOn w:val="1"/>
    <w:autoRedefine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autoRedefine/>
    <w:qFormat/>
    <w:uiPriority w:val="0"/>
    <w:rPr>
      <w:b/>
      <w:bCs/>
    </w:rPr>
  </w:style>
  <w:style w:type="character" w:styleId="10">
    <w:name w:val="page number"/>
    <w:autoRedefine/>
    <w:qFormat/>
    <w:uiPriority w:val="0"/>
  </w:style>
  <w:style w:type="character" w:styleId="11">
    <w:name w:val="Hyperlink"/>
    <w:autoRedefine/>
    <w:qFormat/>
    <w:uiPriority w:val="0"/>
    <w:rPr>
      <w:color w:val="0000FF"/>
      <w:u w:val="single"/>
    </w:rPr>
  </w:style>
  <w:style w:type="character" w:styleId="12">
    <w:name w:val="annotation reference"/>
    <w:autoRedefine/>
    <w:qFormat/>
    <w:uiPriority w:val="0"/>
    <w:rPr>
      <w:sz w:val="21"/>
      <w:szCs w:val="21"/>
    </w:rPr>
  </w:style>
  <w:style w:type="paragraph" w:customStyle="1" w:styleId="13">
    <w:name w:val="Char Char Char"/>
    <w:basedOn w:val="1"/>
    <w:autoRedefine/>
    <w:qFormat/>
    <w:uiPriority w:val="0"/>
  </w:style>
  <w:style w:type="paragraph" w:customStyle="1" w:styleId="14">
    <w:name w:val="1 Char"/>
    <w:basedOn w:val="1"/>
    <w:autoRedefine/>
    <w:qFormat/>
    <w:uiPriority w:val="0"/>
  </w:style>
  <w:style w:type="paragraph" w:customStyle="1" w:styleId="15">
    <w:name w:val="p0"/>
    <w:basedOn w:val="1"/>
    <w:autoRedefine/>
    <w:qFormat/>
    <w:uiPriority w:val="0"/>
    <w:pPr>
      <w:widowControl/>
    </w:pPr>
    <w:rPr>
      <w:kern w:val="0"/>
      <w:szCs w:val="21"/>
    </w:rPr>
  </w:style>
  <w:style w:type="paragraph" w:customStyle="1" w:styleId="16">
    <w:name w:val="Char Char"/>
    <w:basedOn w:val="1"/>
    <w:autoRedefine/>
    <w:qFormat/>
    <w:uiPriority w:val="0"/>
    <w:pPr>
      <w:adjustRightInd w:val="0"/>
      <w:spacing w:line="360" w:lineRule="auto"/>
    </w:pPr>
    <w:rPr>
      <w:kern w:val="0"/>
      <w:sz w:val="24"/>
      <w:szCs w:val="20"/>
    </w:rPr>
  </w:style>
  <w:style w:type="paragraph" w:customStyle="1" w:styleId="17">
    <w:name w:val="Char Char Char1"/>
    <w:basedOn w:val="1"/>
    <w:autoRedefine/>
    <w:qFormat/>
    <w:uiPriority w:val="0"/>
  </w:style>
  <w:style w:type="paragraph" w:customStyle="1" w:styleId="18">
    <w:name w:val="Char"/>
    <w:basedOn w:val="1"/>
    <w:autoRedefine/>
    <w:qFormat/>
    <w:uiPriority w:val="0"/>
  </w:style>
  <w:style w:type="paragraph" w:customStyle="1" w:styleId="19">
    <w:name w:val="修订1"/>
    <w:autoRedefine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0">
    <w:name w:val="Char1 Char Char Char Char Char Char"/>
    <w:basedOn w:val="1"/>
    <w:autoRedefine/>
    <w:qFormat/>
    <w:uiPriority w:val="0"/>
  </w:style>
  <w:style w:type="paragraph" w:styleId="21">
    <w:name w:val="List Paragraph"/>
    <w:basedOn w:val="1"/>
    <w:autoRedefine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2754</Words>
  <Characters>3410</Characters>
  <Lines>26</Lines>
  <Paragraphs>17</Paragraphs>
  <TotalTime>5</TotalTime>
  <ScaleCrop>false</ScaleCrop>
  <LinksUpToDate>false</LinksUpToDate>
  <CharactersWithSpaces>3435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2025-06-17T03:07:00Z</dcterms:created>
  <dc:creator>guanhao</dc:creator>
  <cp:lastModifiedBy>李群</cp:lastModifiedBy>
  <cp:lastPrinted>2025-03-31T09:54:00Z</cp:lastPrinted>
  <dcterms:modified xsi:type="dcterms:W3CDTF">2025-06-23T09:33:04Z</dcterms:modified>
  <dc:subject>冠昊生物</dc:subject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A53F19239FC94177B637C59B5C943CB3_12</vt:lpwstr>
  </property>
  <property fmtid="{D5CDD505-2E9C-101B-9397-08002B2CF9AE}" pid="4" name="KSOTemplateDocerSaveRecord">
    <vt:lpwstr>eyJoZGlkIjoiYWRlOTk1ZDM4MjkzZjgxMjZiN2M3ZjNmNDQ5NGIzZGYiLCJ1c2VySWQiOiIzNDI3ODI2OTEifQ==</vt:lpwstr>
  </property>
</Properties>
</file>